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02C57"/>
          <w:sz w:val="44"/>
        </w:rPr>
        <w:t>Retail Eureka — Buyer Agent Web Service</w:t>
      </w:r>
    </w:p>
    <w:p>
      <w:pPr>
        <w:spacing w:after="320"/>
      </w:pPr>
      <w:r>
        <w:rPr>
          <w:rFonts w:ascii="Calibri" w:hAnsi="Calibri"/>
          <w:i/>
          <w:color w:val="505050"/>
          <w:sz w:val="26"/>
        </w:rPr>
        <w:t>Manual de Protocolos de Comunicação REST API &amp; Arquitetura Federada Multi-Tenant</w:t>
      </w:r>
    </w:p>
    <w:p>
      <w:pPr>
        <w:pStyle w:val="Heading1"/>
        <w:spacing w:before="240" w:after="120"/>
      </w:pPr>
      <w:r>
        <w:t>1. Visão Geral &amp; Arquitetura</w:t>
      </w:r>
    </w:p>
    <w:p>
      <w:r>
        <w:t>O Web Service do Buyer Agent (Agente de Compras) é um microserviço autónomo construído com FastAPI e PyTorch, responsável pela otimização de encomendas diárias em cadeias de abastecimento de produtos perecíveis. O motor de decisão baseia-se em Aprendizagem por Reforço Profunda (PPO — Proximal Policy Optimization) com restrições físicas e modelo biológico de degradação de frutos (FruitModel2).</w:t>
      </w:r>
    </w:p>
    <w:p>
      <w:r>
        <w:t>O serviço implementa isolamento multi-tenant por utilizador e cultura: os modelos treinados (.pth), scalers e metadados são guardados de forma estanque na pasta models_storage/user_{user_id}/culture_{culture_id}/.</w:t>
      </w:r>
    </w:p>
    <w:p>
      <w:pPr>
        <w:pStyle w:val="Heading1"/>
        <w:spacing w:before="240" w:after="120"/>
      </w:pPr>
      <w:r>
        <w:t>2. Sumário dos Endpoints REST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02C57"/>
          </w:tcPr>
          <w:p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412"/>
            <w:shd w:fill="102C57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412"/>
            <w:shd w:fill="102C57"/>
          </w:tcPr>
          <w:p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2412"/>
            <w:shd w:fill="102C57"/>
          </w:tcPr>
          <w:p>
            <w:r>
              <w:rPr>
                <w:b/>
                <w:color w:val="FFFFFF"/>
              </w:rPr>
              <w:t>Porta</w:t>
            </w:r>
          </w:p>
        </w:tc>
      </w:tr>
      <w:tr>
        <w:tc>
          <w:tcPr>
            <w:tcW w:type="dxa" w:w="2412"/>
            <w:shd w:fill="F5F5F5"/>
          </w:tcPr>
          <w:p>
            <w:r>
              <w:t>GET</w:t>
            </w:r>
          </w:p>
        </w:tc>
        <w:tc>
          <w:tcPr>
            <w:tcW w:type="dxa" w:w="2412"/>
            <w:shd w:fill="FFFFFF"/>
          </w:tcPr>
          <w:p>
            <w:r>
              <w:t>/health</w:t>
            </w:r>
          </w:p>
        </w:tc>
        <w:tc>
          <w:tcPr>
            <w:tcW w:type="dxa" w:w="2412"/>
            <w:shd w:fill="FFFFFF"/>
          </w:tcPr>
          <w:p>
            <w:r>
              <w:t>Verificação de saúde do serviço</w:t>
            </w:r>
          </w:p>
        </w:tc>
        <w:tc>
          <w:tcPr>
            <w:tcW w:type="dxa" w:w="2412"/>
            <w:shd w:fill="F5F5F5"/>
          </w:tcPr>
          <w:p>
            <w:r>
              <w:t>8002</w:t>
            </w:r>
          </w:p>
        </w:tc>
      </w:tr>
      <w:tr>
        <w:tc>
          <w:tcPr>
            <w:tcW w:type="dxa" w:w="2412"/>
            <w:shd w:fill="F5F5F5"/>
          </w:tcPr>
          <w:p>
            <w:r>
              <w:t>GET</w:t>
            </w:r>
          </w:p>
        </w:tc>
        <w:tc>
          <w:tcPr>
            <w:tcW w:type="dxa" w:w="2412"/>
            <w:shd w:fill="FFFFFF"/>
          </w:tcPr>
          <w:p>
            <w:r>
              <w:t>/api/buyer/status</w:t>
            </w:r>
          </w:p>
        </w:tc>
        <w:tc>
          <w:tcPr>
            <w:tcW w:type="dxa" w:w="2412"/>
            <w:shd w:fill="FFFFFF"/>
          </w:tcPr>
          <w:p>
            <w:r>
              <w:t>Consulta de existência e estado do modelo por user_id e culture_id</w:t>
            </w:r>
          </w:p>
        </w:tc>
        <w:tc>
          <w:tcPr>
            <w:tcW w:type="dxa" w:w="2412"/>
            <w:shd w:fill="F5F5F5"/>
          </w:tcPr>
          <w:p>
            <w:r>
              <w:t>8002</w:t>
            </w:r>
          </w:p>
        </w:tc>
      </w:tr>
      <w:tr>
        <w:tc>
          <w:tcPr>
            <w:tcW w:type="dxa" w:w="2412"/>
            <w:shd w:fill="F5F5F5"/>
          </w:tcPr>
          <w:p>
            <w:r>
              <w:t>POST</w:t>
            </w:r>
          </w:p>
        </w:tc>
        <w:tc>
          <w:tcPr>
            <w:tcW w:type="dxa" w:w="2412"/>
            <w:shd w:fill="FFFFFF"/>
          </w:tcPr>
          <w:p>
            <w:r>
              <w:t>/api/buyer/train</w:t>
            </w:r>
          </w:p>
        </w:tc>
        <w:tc>
          <w:tcPr>
            <w:tcW w:type="dxa" w:w="2412"/>
            <w:shd w:fill="FFFFFF"/>
          </w:tcPr>
          <w:p>
            <w:r>
              <w:t>Treino da política PPO com histórico de vendas e previsões</w:t>
            </w:r>
          </w:p>
        </w:tc>
        <w:tc>
          <w:tcPr>
            <w:tcW w:type="dxa" w:w="2412"/>
            <w:shd w:fill="F5F5F5"/>
          </w:tcPr>
          <w:p>
            <w:r>
              <w:t>8002</w:t>
            </w:r>
          </w:p>
        </w:tc>
      </w:tr>
      <w:tr>
        <w:tc>
          <w:tcPr>
            <w:tcW w:type="dxa" w:w="2412"/>
            <w:shd w:fill="F5F5F5"/>
          </w:tcPr>
          <w:p>
            <w:r>
              <w:t>POST</w:t>
            </w:r>
          </w:p>
        </w:tc>
        <w:tc>
          <w:tcPr>
            <w:tcW w:type="dxa" w:w="2412"/>
            <w:shd w:fill="FFFFFF"/>
          </w:tcPr>
          <w:p>
            <w:r>
              <w:t>/api/buyer/decide</w:t>
            </w:r>
          </w:p>
        </w:tc>
        <w:tc>
          <w:tcPr>
            <w:tcW w:type="dxa" w:w="2412"/>
            <w:shd w:fill="FFFFFF"/>
          </w:tcPr>
          <w:p>
            <w:r>
              <w:t>Inferência em tempo real para cálculo da encomenda ótima e baselines</w:t>
            </w:r>
          </w:p>
        </w:tc>
        <w:tc>
          <w:tcPr>
            <w:tcW w:type="dxa" w:w="2412"/>
            <w:shd w:fill="F5F5F5"/>
          </w:tcPr>
          <w:p>
            <w:r>
              <w:t>8002</w:t>
            </w:r>
          </w:p>
        </w:tc>
      </w:tr>
    </w:tbl>
    <w:p>
      <w:pPr>
        <w:pStyle w:val="Heading1"/>
        <w:spacing w:before="280" w:after="120"/>
      </w:pPr>
      <w:r>
        <w:t>3. Detalhe dos Contratos de Comunicação</w:t>
      </w:r>
    </w:p>
    <w:p>
      <w:pPr>
        <w:pStyle w:val="Heading2"/>
      </w:pPr>
      <w:r>
        <w:t>3.1. POST /api/buyer/train (Treino de Política PPO)</w:t>
      </w:r>
    </w:p>
    <w:p>
      <w:r>
        <w:t>Parâmetros no corpo da mensagem (JSON):</w:t>
      </w:r>
    </w:p>
    <w:p>
      <w:r>
        <w:t>• user_id (int/str): Identificador do utilizador autenticado.</w:t>
        <w:br/>
        <w:t>• culture_id (int/str): Identificador da cultura/subfamília de produto.</w:t>
        <w:br/>
        <w:t>• fruit_key (str, opcional): Preset biológico (ex: maca_gala, maca_fuji, kiwi_hayward, maca_golden, maca_reineta).</w:t>
        <w:br/>
        <w:t>• max_capacity (float, opcional): Limite físico de stock no armazém (default: 500.0).</w:t>
        <w:br/>
        <w:t>• episodes (int, opcional): Número de episódios de treino (default: 300).</w:t>
        <w:br/>
        <w:t>• train_data (array de objetos): Série histórica com real_value e prediction em cada dia.</w:t>
      </w:r>
    </w:p>
    <w:p>
      <w:pPr>
        <w:pStyle w:val="Heading2"/>
      </w:pPr>
      <w:r>
        <w:t>3.2. POST /api/buyer/decide (Tomada de Decisão Diária)</w:t>
      </w:r>
    </w:p>
    <w:p>
      <w:r>
        <w:t>Permite que a plataforma Django ou qualquer cliente externo envie o estado de stock e o contexto de procura para obter a recomendação exata de compra em Kg e a comparação com baselines de mercado (DOS-3D, CNN Naive e Min-Max).</w:t>
      </w:r>
    </w:p>
    <w:p>
      <w:r>
        <w:t>Vetor de Estado (17 variáveis processadas internamente):</w:t>
        <w:br/>
        <w:t>1-4. Stock físico classificado por RSL em 4 prateleiras (G0, G1, G2, G3)</w:t>
        <w:br/>
        <w:t>5. Encomendas em trânsito com chegada prevista para amanhã</w:t>
        <w:br/>
        <w:t>6-7. Previsão de procura para hoje e amanhã</w:t>
        <w:br/>
        <w:t>8-9. Vendas reais passadas (t-1 e t-2)</w:t>
        <w:br/>
        <w:t>10. Preço relativo de mercado (Z-score sobre janela de 15 dias)</w:t>
        <w:br/>
        <w:t>11-14. Componentes cíclicos temporais (seno e cosseno do dia da semana e do mês)</w:t>
        <w:br/>
        <w:t>15. Cobertura de stock normalizada</w:t>
        <w:br/>
        <w:t>16. Índice de urgência de stock a expirar</w:t>
        <w:br/>
        <w:t>17. Erro relativo da última previsão de procura</w:t>
      </w:r>
    </w:p>
    <w:p>
      <w:pPr>
        <w:pStyle w:val="Heading1"/>
        <w:spacing w:before="280" w:after="120"/>
      </w:pPr>
      <w:r>
        <w:t>4. Baselines Heurísticas para Comparação Transparente</w:t>
      </w:r>
    </w:p>
    <w:p>
      <w:r>
        <w:t>A resposta do endpoint /api/buyer/decide inclui automaticamente a comparação com as 3 políticas tradicionais:</w:t>
        <w:br/>
        <w:t>• DOS 3-Day (Days of Supply): Garante cobertura para os próximos 3 dias de procura prevista.</w:t>
        <w:br/>
        <w:t>• CNN Naive Heuristic: Encomenda a diferença entre a procura de amanhã e o stock projetado de fim de dia.</w:t>
        <w:br/>
        <w:t>• Min-Max (s, S): Política clássica de ponto de encomenda.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