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b/>
          <w:color w:val="1A5276"/>
          <w:sz w:val="72"/>
        </w:rPr>
        <w:t>FinanzasU S.A.S.</w:t>
      </w:r>
    </w:p>
    <w:p>
      <w:pPr>
        <w:spacing w:after="120"/>
        <w:jc w:val="center"/>
      </w:pPr>
      <w:r>
        <w:rPr>
          <w:color w:val="1F618D"/>
          <w:sz w:val="34"/>
        </w:rPr>
        <w:t>Documentos de Constitución de Empresa</w:t>
      </w:r>
    </w:p>
    <w:p>
      <w:pPr>
        <w:spacing w:after="120"/>
        <w:jc w:val="center"/>
      </w:pPr>
      <w:r>
        <w:rPr>
          <w:color w:val="555555"/>
          <w:sz w:val="26"/>
        </w:rPr>
        <w:t>Sociedad por Acciones Simplificada — S.A.S.</w:t>
      </w:r>
    </w:p>
    <w:p>
      <w:pPr>
        <w:spacing w:after="600"/>
        <w:jc w:val="center"/>
      </w:pPr>
      <w:r>
        <w:rPr>
          <w:color w:val="888888"/>
          <w:sz w:val="22"/>
        </w:rPr>
        <w:t>Conforme a la Ley 1258 de 2008 — República de Colombia</w:t>
      </w:r>
    </w:p>
    <w:p>
      <w:pPr>
        <w:spacing w:before="120" w:after="200"/>
        <w:pBdr>
          <w:bottom w:val="single" w:sz="6" w:space="1" w:color="1A5276"/>
        </w:pBdr>
      </w:pPr>
    </w:p>
    <w:p>
      <w:pPr>
        <w:spacing w:before="80" w:after="200"/>
        <w:jc w:val="both"/>
      </w:pPr>
      <w:r>
        <w:rPr>
          <w:b w:val="0"/>
          <w:i w:val="0"/>
          <w:color w:val="2C3E50"/>
          <w:sz w:val="22"/>
        </w:rPr>
        <w:t>Los siguientes documentos conforman el expediente de constitución de la empresa FinanzasU S.A.S., incluyendo el acta de constitución, los estatutos básicos y la información registral requerida ante la Cámara de Comercio de Colombia.</w:t>
      </w:r>
    </w:p>
    <w:p>
      <w:pPr>
        <w:spacing w:before="360" w:after="200"/>
        <w:shd w:val="clear" w:color="auto" w:fill="1A5276"/>
      </w:pPr>
      <w:r>
        <w:rPr>
          <w:b/>
          <w:color w:val="FFFFFF"/>
          <w:sz w:val="30"/>
        </w:rPr>
        <w:t xml:space="preserve">  DOCUMENTO A — ACTA DE CONSTITUCIÓN DE LA EMPRESA</w:t>
      </w:r>
    </w:p>
    <w:p>
      <w:pPr>
        <w:spacing w:before="120" w:after="120"/>
        <w:jc w:val="both"/>
      </w:pPr>
      <w:r>
        <w:rPr>
          <w:b w:val="0"/>
          <w:i w:val="0"/>
          <w:color w:val="2C3E50"/>
          <w:sz w:val="22"/>
        </w:rPr>
        <w:t>En la ciudad de Zarzal, Valle del Cauca, República de Colombia, a los ___ días del mes de ___________ del año 2026, se reunieron los siguientes estudiantes de la Universidad del Valle sede Zarzal, con el propósito de constituir una Sociedad por Acciones Simplificada (S.A.S.) conforme a lo establecido en la Ley 1258 de 2008:</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576"/>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N°</w:t>
            </w:r>
          </w:p>
        </w:tc>
        <w:tc>
          <w:tcPr>
            <w:tcW w:type="dxa" w:w="316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Nombre Completo</w:t>
            </w:r>
          </w:p>
        </w:tc>
        <w:tc>
          <w:tcPr>
            <w:tcW w:type="dxa" w:w="1152"/>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Tipo Doc.</w:t>
            </w:r>
          </w:p>
        </w:tc>
        <w:tc>
          <w:tcPr>
            <w:tcW w:type="dxa" w:w="244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Número de Documento</w:t>
            </w:r>
          </w:p>
        </w:tc>
        <w:tc>
          <w:tcPr>
            <w:tcW w:type="dxa" w:w="288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Rol en la empresa</w:t>
            </w:r>
          </w:p>
        </w:tc>
      </w:tr>
      <w:tr>
        <w:tc>
          <w:tcPr>
            <w:tcW w:type="dxa" w:w="57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w:t>
            </w:r>
          </w:p>
        </w:tc>
        <w:tc>
          <w:tcPr>
            <w:tcW w:type="dxa" w:w="31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Kevin Marino Villafañe Galindo</w:t>
            </w:r>
          </w:p>
        </w:tc>
        <w:tc>
          <w:tcPr>
            <w:tcW w:type="dxa" w:w="1152"/>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C.C.</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_______________</w:t>
            </w:r>
          </w:p>
        </w:tc>
        <w:tc>
          <w:tcPr>
            <w:tcW w:type="dxa" w:w="288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Frontend Lead — Representante Legal</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2</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Carlos Quintero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C.C.</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_______________</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Frontend JavaScript</w:t>
            </w:r>
          </w:p>
        </w:tc>
      </w:tr>
      <w:tr>
        <w:tc>
          <w:tcPr>
            <w:tcW w:type="dxa" w:w="57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3</w:t>
            </w:r>
          </w:p>
        </w:tc>
        <w:tc>
          <w:tcPr>
            <w:tcW w:type="dxa" w:w="31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Andrés Salazar</w:t>
            </w:r>
          </w:p>
        </w:tc>
        <w:tc>
          <w:tcPr>
            <w:tcW w:type="dxa" w:w="1152"/>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C.C.</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_______________</w:t>
            </w:r>
          </w:p>
        </w:tc>
        <w:tc>
          <w:tcPr>
            <w:tcW w:type="dxa" w:w="288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Backend PHP</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4</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Camilo Triana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C.C.</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_______________</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Base de Datos — Secretario</w:t>
            </w:r>
          </w:p>
        </w:tc>
      </w:tr>
    </w:tbl>
    <w:p>
      <w:pPr>
        <w:spacing w:before="0" w:after="0"/>
      </w:pPr>
    </w:p>
    <w:p>
      <w:pPr>
        <w:spacing w:before="280" w:after="160"/>
        <w:shd w:val="clear" w:color="auto" w:fill="1F618D"/>
      </w:pPr>
      <w:r>
        <w:rPr>
          <w:b/>
          <w:color w:val="FFFFFF"/>
          <w:sz w:val="24"/>
        </w:rPr>
        <w:t xml:space="preserve">  ACUERDOS ADOPTADOS EN EL ACTA DE CONSTITUCIÓN</w:t>
      </w:r>
    </w:p>
    <w:p>
      <w:pPr>
        <w:spacing w:before="200" w:after="80"/>
      </w:pPr>
      <w:r>
        <w:rPr>
          <w:b/>
          <w:color w:val="1A5276"/>
          <w:sz w:val="23"/>
        </w:rPr>
        <w:t>PRIMERO — Nombre de la sociedad</w:t>
      </w:r>
    </w:p>
    <w:p>
      <w:pPr>
        <w:spacing w:before="40" w:after="80"/>
        <w:jc w:val="both"/>
      </w:pPr>
      <w:r>
        <w:rPr>
          <w:b w:val="0"/>
          <w:i w:val="0"/>
          <w:color w:val="2C3E50"/>
          <w:sz w:val="22"/>
        </w:rPr>
        <w:t>Los comparecientes acordaron constituir una Sociedad por Acciones Simplificada que se denominará FINANZASU S.A.S., con domicilio principal en el municipio de Zarzal, departamento del Valle del Cauca, República de Colombia.</w:t>
      </w:r>
    </w:p>
    <w:p>
      <w:pPr>
        <w:spacing w:before="200" w:after="80"/>
      </w:pPr>
      <w:r>
        <w:rPr>
          <w:b/>
          <w:color w:val="1A5276"/>
          <w:sz w:val="23"/>
        </w:rPr>
        <w:t>SEGUNDO — Objeto social</w:t>
      </w:r>
    </w:p>
    <w:p>
      <w:pPr>
        <w:spacing w:before="40" w:after="80"/>
        <w:jc w:val="both"/>
      </w:pPr>
      <w:r>
        <w:rPr>
          <w:b w:val="0"/>
          <w:i w:val="0"/>
          <w:color w:val="2C3E50"/>
          <w:sz w:val="22"/>
        </w:rPr>
        <w:t>El objeto social principal de la sociedad es el desarrollo, comercialización y distribución de software financiero educativo, con énfasis en plataformas web y aplicaciones móviles dirigidas a estudiantes universitarios. La sociedad podrá además realizar cualquier actividad lícita de comercio, industria o servicios que sea conexa o complementaria al objeto principal.</w:t>
      </w:r>
    </w:p>
    <w:p>
      <w:pPr>
        <w:spacing w:before="200" w:after="80"/>
      </w:pPr>
      <w:r>
        <w:rPr>
          <w:b/>
          <w:color w:val="1A5276"/>
          <w:sz w:val="23"/>
        </w:rPr>
        <w:t>TERCERO — Capital social</w:t>
      </w:r>
    </w:p>
    <w:p>
      <w:pPr>
        <w:spacing w:before="40" w:after="80"/>
        <w:jc w:val="both"/>
      </w:pPr>
      <w:r>
        <w:rPr>
          <w:b w:val="0"/>
          <w:i w:val="0"/>
          <w:color w:val="2C3E50"/>
          <w:sz w:val="22"/>
        </w:rPr>
        <w:t>El capital autorizado de la sociedad es de CUATRO MILLONES DE PESOS ($4.000.000 COP), dividido en 4.000 acciones ordinarias de un valor nominal de MIL PESOS ($1.000 COP) cada una. El capital suscrito y pagado al momento de la constitución es de CUATRO MILLONES DE PESOS ($4.000.000 COP), distribuido en partes iguales entre los 4 socios fundadores: $1.000.000 COP (1.000 acciones) por cada socio.</w:t>
      </w:r>
    </w:p>
    <w:p>
      <w:pPr>
        <w:spacing w:before="200" w:after="80"/>
      </w:pPr>
      <w:r>
        <w:rPr>
          <w:b/>
          <w:color w:val="1A5276"/>
          <w:sz w:val="23"/>
        </w:rPr>
        <w:t>CUARTO — Distribución de acciones</w:t>
      </w:r>
    </w:p>
    <w:p>
      <w:pPr>
        <w:spacing w:before="40" w:after="80"/>
        <w:jc w:val="both"/>
      </w:pPr>
      <w:r>
        <w:rPr>
          <w:b w:val="0"/>
          <w:i w:val="0"/>
          <w:color w:val="2C3E50"/>
          <w:sz w:val="22"/>
        </w:rPr>
        <w:t>Se acuerda la siguiente distribución inicial del capital social:</w:t>
      </w:r>
    </w:p>
    <w:tbl>
      <w:tblPr>
        <w:tblStyle w:val="TableGrid"/>
        <w:tblW w:type="auto" w:w="0"/>
        <w:tblLook w:firstColumn="1" w:firstRow="1" w:lastColumn="0" w:lastRow="0" w:noHBand="0" w:noVBand="1" w:val="04A0"/>
      </w:tblPr>
      <w:tblGrid>
        <w:gridCol w:w="2196"/>
        <w:gridCol w:w="2196"/>
        <w:gridCol w:w="2196"/>
        <w:gridCol w:w="2196"/>
      </w:tblGrid>
      <w:tr>
        <w:tc>
          <w:tcPr>
            <w:tcW w:type="dxa" w:w="360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Socio</w:t>
            </w:r>
          </w:p>
        </w:tc>
        <w:tc>
          <w:tcPr>
            <w:tcW w:type="dxa" w:w="1872"/>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Acciones</w:t>
            </w:r>
          </w:p>
        </w:tc>
        <w:tc>
          <w:tcPr>
            <w:tcW w:type="dxa" w:w="244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Valor ($COP)</w:t>
            </w:r>
          </w:p>
        </w:tc>
        <w:tc>
          <w:tcPr>
            <w:tcW w:type="dxa" w:w="244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Participación (%)</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Kevin Marino Villafañe Galindo</w:t>
            </w:r>
          </w:p>
        </w:tc>
        <w:tc>
          <w:tcPr>
            <w:tcW w:type="dxa" w:w="1872"/>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$1.000.000</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25%</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Carlos Quintero</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25%</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Andrés Salazar</w:t>
            </w:r>
          </w:p>
        </w:tc>
        <w:tc>
          <w:tcPr>
            <w:tcW w:type="dxa" w:w="1872"/>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$1.000.000</w:t>
            </w:r>
          </w:p>
        </w:tc>
        <w:tc>
          <w:tcPr>
            <w:tcW w:type="dxa" w:w="244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25%</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Juan Camilo Triana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$1.000.000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25%</w:t>
            </w:r>
          </w:p>
        </w:tc>
      </w:tr>
      <w:tr>
        <w:tc>
          <w:tcPr>
            <w:tcW w:type="dxa" w:w="3600"/>
            <w:shd w:val="clear" w:color="auto" w:fill="1A5276"/>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i w:val="0"/>
                <w:color w:val="FFFFFF"/>
                <w:sz w:val="22"/>
              </w:rPr>
              <w:t>TOTAL</w:t>
            </w:r>
          </w:p>
        </w:tc>
        <w:tc>
          <w:tcPr>
            <w:tcW w:type="dxa" w:w="1872"/>
            <w:shd w:val="clear" w:color="auto" w:fill="1A5276"/>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i w:val="0"/>
                <w:color w:val="FFFFFF"/>
                <w:sz w:val="22"/>
              </w:rPr>
              <w:t>4.000</w:t>
            </w:r>
          </w:p>
        </w:tc>
        <w:tc>
          <w:tcPr>
            <w:tcW w:type="dxa" w:w="2448"/>
            <w:shd w:val="clear" w:color="auto" w:fill="1A5276"/>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i w:val="0"/>
                <w:color w:val="FFFFFF"/>
                <w:sz w:val="22"/>
              </w:rPr>
              <w:t>$4.000.000</w:t>
            </w:r>
          </w:p>
        </w:tc>
        <w:tc>
          <w:tcPr>
            <w:tcW w:type="dxa" w:w="2448"/>
            <w:shd w:val="clear" w:color="auto" w:fill="1A5276"/>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i w:val="0"/>
                <w:color w:val="FFFFFF"/>
                <w:sz w:val="22"/>
              </w:rPr>
              <w:t>100%</w:t>
            </w:r>
          </w:p>
        </w:tc>
      </w:tr>
    </w:tbl>
    <w:p>
      <w:pPr>
        <w:spacing w:before="0" w:after="0"/>
      </w:pPr>
    </w:p>
    <w:p>
      <w:pPr>
        <w:spacing w:before="200" w:after="80"/>
      </w:pPr>
      <w:r>
        <w:rPr>
          <w:b/>
          <w:color w:val="1A5276"/>
          <w:sz w:val="23"/>
        </w:rPr>
        <w:t>QUINTO — Duración de la sociedad</w:t>
      </w:r>
    </w:p>
    <w:p>
      <w:pPr>
        <w:spacing w:before="40" w:after="80"/>
        <w:jc w:val="both"/>
      </w:pPr>
      <w:r>
        <w:rPr>
          <w:b w:val="0"/>
          <w:i w:val="0"/>
          <w:color w:val="2C3E50"/>
          <w:sz w:val="22"/>
        </w:rPr>
        <w:t>La sociedad tendrá una duración indefinida, contada a partir de la fecha de su inscripción en el Registro Mercantil de la Cámara de Comercio competente.</w:t>
      </w:r>
    </w:p>
    <w:p>
      <w:pPr>
        <w:spacing w:before="200" w:after="80"/>
      </w:pPr>
      <w:r>
        <w:rPr>
          <w:b/>
          <w:color w:val="1A5276"/>
          <w:sz w:val="23"/>
        </w:rPr>
        <w:t>SEXTO — Representante legal</w:t>
      </w:r>
    </w:p>
    <w:p>
      <w:pPr>
        <w:spacing w:before="40" w:after="80"/>
        <w:jc w:val="both"/>
      </w:pPr>
      <w:r>
        <w:rPr>
          <w:b w:val="0"/>
          <w:i w:val="0"/>
          <w:color w:val="2C3E50"/>
          <w:sz w:val="22"/>
        </w:rPr>
        <w:t>Los socios designan como Representante Legal Principal de la sociedad al socio Kevin Marino Villafañe Galindo, identificado con C.C. N° _______________, quien ejercerá dicho cargo por el período de UN (1) año, renovable por decisión de la Asamblea de Accionistas. El Representante Legal tendrá las facultades necesarias para contratar, representar a la sociedad ante entidades públicas y privadas, abrir cuentas bancarias y suscribir documentos en nombre de la sociedad.</w:t>
      </w:r>
    </w:p>
    <w:p>
      <w:pPr>
        <w:spacing w:before="200" w:after="80"/>
      </w:pPr>
      <w:r>
        <w:rPr>
          <w:b/>
          <w:color w:val="1A5276"/>
          <w:sz w:val="23"/>
        </w:rPr>
        <w:t>SÉPTIMO — Junta directiva</w:t>
      </w:r>
    </w:p>
    <w:p>
      <w:pPr>
        <w:spacing w:before="40" w:after="80"/>
        <w:jc w:val="both"/>
      </w:pPr>
      <w:r>
        <w:rPr>
          <w:b w:val="0"/>
          <w:i w:val="0"/>
          <w:color w:val="2C3E50"/>
          <w:sz w:val="22"/>
        </w:rPr>
        <w:t>La sociedad no tendrá junta directiva. Las decisiones estratégicas serán tomadas por la Asamblea de Accionistas, conformada por los 4 socios fundadores, con derecho a un voto por acción poseída.</w:t>
      </w:r>
    </w:p>
    <w:p>
      <w:pPr>
        <w:spacing w:before="200" w:after="80"/>
      </w:pPr>
      <w:r>
        <w:rPr>
          <w:b/>
          <w:color w:val="1A5276"/>
          <w:sz w:val="23"/>
        </w:rPr>
        <w:t>OCTAVO — Reparto de utilidades</w:t>
      </w:r>
    </w:p>
    <w:p>
      <w:pPr>
        <w:spacing w:before="40" w:after="80"/>
        <w:jc w:val="both"/>
      </w:pPr>
      <w:r>
        <w:rPr>
          <w:b w:val="0"/>
          <w:i w:val="0"/>
          <w:color w:val="2C3E50"/>
          <w:sz w:val="22"/>
        </w:rPr>
        <w:t>Las utilidades netas de cada ejercicio fiscal serán distribuidas entre los accionistas en proporción a su participación accionaria, previa aprobación de los estados financieros por la Asamblea de Accionistas y luego de constituir las reservas legales obligatorias conforme a la ley colombiana.</w:t>
      </w:r>
    </w:p>
    <w:p>
      <w:pPr>
        <w:spacing w:before="200" w:after="80"/>
      </w:pPr>
      <w:r>
        <w:rPr>
          <w:b/>
          <w:color w:val="1A5276"/>
          <w:sz w:val="23"/>
        </w:rPr>
        <w:t>NOVENO — Disolución y liquidación</w:t>
      </w:r>
    </w:p>
    <w:p>
      <w:pPr>
        <w:spacing w:before="40" w:after="80"/>
        <w:jc w:val="both"/>
      </w:pPr>
      <w:r>
        <w:rPr>
          <w:b w:val="0"/>
          <w:i w:val="0"/>
          <w:color w:val="2C3E50"/>
          <w:sz w:val="22"/>
        </w:rPr>
        <w:t>La sociedad se disolverá por las causales establecidas en la Ley 1258 de 2008 y el Código de Comercio colombiano. En caso de disolución, se procederá a la liquidación del patrimonio social conforme a la ley, pagando primero las obligaciones con terceros y luego distribuyendo el remanente entre los accionistas en proporción a su participación.</w:t>
      </w:r>
    </w:p>
    <w:p>
      <w:pPr>
        <w:spacing w:before="200" w:after="80"/>
      </w:pPr>
      <w:r>
        <w:rPr>
          <w:b/>
          <w:color w:val="1A5276"/>
          <w:sz w:val="23"/>
        </w:rPr>
        <w:t>DÉCIMO — Estatutos</w:t>
      </w:r>
    </w:p>
    <w:p>
      <w:pPr>
        <w:spacing w:before="40" w:after="80"/>
        <w:jc w:val="both"/>
      </w:pPr>
      <w:r>
        <w:rPr>
          <w:b w:val="0"/>
          <w:i w:val="0"/>
          <w:color w:val="2C3E50"/>
          <w:sz w:val="22"/>
        </w:rPr>
        <w:t>Los presentes socios aprueban los estatutos básicos de la sociedad que se anexan al presente documento como Documento B, los cuales forman parte integral del presente acta de constitución.</w:t>
      </w:r>
    </w:p>
    <w:p>
      <w:pPr>
        <w:spacing w:before="280" w:after="160"/>
        <w:shd w:val="clear" w:color="auto" w:fill="555555"/>
      </w:pPr>
      <w:r>
        <w:rPr>
          <w:b/>
          <w:color w:val="FFFFFF"/>
          <w:sz w:val="24"/>
        </w:rPr>
        <w:t xml:space="preserve">  FIRMAS DE LOS SOCIOS CONSTITUYENTES</w:t>
      </w:r>
    </w:p>
    <w:p>
      <w:pPr>
        <w:spacing w:before="120" w:after="200"/>
        <w:jc w:val="both"/>
      </w:pPr>
      <w:r>
        <w:rPr>
          <w:b w:val="0"/>
          <w:i w:val="0"/>
          <w:color w:val="2C3E50"/>
          <w:sz w:val="22"/>
        </w:rPr>
        <w:t>En constancia de lo anterior, los comparecientes firman el presente documento en la ciudad de Zarzal, Valle del Cauca, a los ___ días del mes de ___________ de 2026:</w:t>
      </w:r>
    </w:p>
    <w:tbl>
      <w:tblPr>
        <w:tblStyle w:val="TableGrid"/>
        <w:tblW w:type="auto" w:w="0"/>
        <w:tblLook w:firstColumn="1" w:firstRow="1" w:lastColumn="0" w:lastRow="0" w:noHBand="0" w:noVBand="1" w:val="04A0"/>
      </w:tblPr>
      <w:tblGrid>
        <w:gridCol w:w="4392"/>
        <w:gridCol w:w="4392"/>
      </w:tblGrid>
      <w:tr>
        <w:tc>
          <w:tcPr>
            <w:tcW w:type="dxa" w:w="4752"/>
            <w:shd w:val="clear" w:color="auto" w:fill="FAFAFA"/>
            <w:tcBorders>
              <w:top w:val="single" w:sz="4" w:space="0" w:color="FFFFFF"/>
              <w:left w:val="single" w:sz="4" w:space="0" w:color="FFFFFF"/>
              <w:bottom w:val="single" w:sz="4" w:space="0" w:color="FFFFFF"/>
              <w:right w:val="single" w:sz="4" w:space="0" w:color="FFFFFF"/>
            </w:tcBorders>
            <w:tcMar>
              <w:top w:w="200" w:type="dxa"/>
              <w:bottom w:w="60" w:type="dxa"/>
              <w:left w:w="200" w:type="dxa"/>
              <w:right w:w="200" w:type="dxa"/>
            </w:tcMar>
          </w:tcPr>
          <w:p>
            <w:pPr>
              <w:jc w:val="center"/>
            </w:pPr>
            <w:r/>
          </w:p>
          <w:p>
            <w:pPr>
              <w:jc w:val="center"/>
            </w:pPr>
            <w:r>
              <w:rPr>
                <w:color w:val="333333"/>
                <w:sz w:val="22"/>
              </w:rPr>
              <w:t>________________________________</w:t>
            </w:r>
          </w:p>
          <w:p>
            <w:pPr>
              <w:jc w:val="center"/>
            </w:pPr>
            <w:r>
              <w:rPr>
                <w:b/>
                <w:color w:val="1A5276"/>
                <w:sz w:val="22"/>
              </w:rPr>
              <w:t>Kevin Marino Villafañe G.</w:t>
            </w:r>
          </w:p>
          <w:p>
            <w:pPr>
              <w:jc w:val="center"/>
            </w:pPr>
            <w:r>
              <w:rPr>
                <w:color w:val="777777"/>
                <w:sz w:val="20"/>
              </w:rPr>
              <w:t>C.C. N° _______________</w:t>
            </w:r>
          </w:p>
        </w:tc>
        <w:tc>
          <w:tcPr>
            <w:tcW w:type="dxa" w:w="4752"/>
            <w:shd w:val="clear" w:color="auto" w:fill="FAFAFA"/>
            <w:tcBorders>
              <w:top w:val="single" w:sz="4" w:space="0" w:color="FFFFFF"/>
              <w:left w:val="single" w:sz="4" w:space="0" w:color="FFFFFF"/>
              <w:bottom w:val="single" w:sz="4" w:space="0" w:color="FFFFFF"/>
              <w:right w:val="single" w:sz="4" w:space="0" w:color="FFFFFF"/>
            </w:tcBorders>
            <w:tcMar>
              <w:top w:w="200" w:type="dxa"/>
              <w:bottom w:w="60" w:type="dxa"/>
              <w:left w:w="200" w:type="dxa"/>
              <w:right w:w="200" w:type="dxa"/>
            </w:tcMar>
          </w:tcPr>
          <w:p>
            <w:pPr>
              <w:jc w:val="center"/>
            </w:pPr>
            <w:r/>
          </w:p>
          <w:p>
            <w:pPr>
              <w:jc w:val="center"/>
            </w:pPr>
            <w:r>
              <w:rPr>
                <w:color w:val="333333"/>
                <w:sz w:val="22"/>
              </w:rPr>
              <w:t>________________________________</w:t>
            </w:r>
          </w:p>
          <w:p>
            <w:pPr>
              <w:jc w:val="center"/>
            </w:pPr>
            <w:r>
              <w:rPr>
                <w:b/>
                <w:color w:val="1A5276"/>
                <w:sz w:val="22"/>
              </w:rPr>
              <w:t>Juan Carlos Quintero</w:t>
            </w:r>
          </w:p>
          <w:p>
            <w:pPr>
              <w:jc w:val="center"/>
            </w:pPr>
            <w:r>
              <w:rPr>
                <w:color w:val="777777"/>
                <w:sz w:val="20"/>
              </w:rPr>
              <w:t>C.C. N° _______________</w:t>
            </w:r>
          </w:p>
        </w:tc>
      </w:tr>
    </w:tbl>
    <w:p>
      <w:pPr>
        <w:spacing w:before="0" w:after="0"/>
      </w:pPr>
    </w:p>
    <w:tbl>
      <w:tblPr>
        <w:tblStyle w:val="TableGrid"/>
        <w:tblW w:type="auto" w:w="0"/>
        <w:tblLook w:firstColumn="1" w:firstRow="1" w:lastColumn="0" w:lastRow="0" w:noHBand="0" w:noVBand="1" w:val="04A0"/>
      </w:tblPr>
      <w:tblGrid>
        <w:gridCol w:w="4392"/>
        <w:gridCol w:w="4392"/>
      </w:tblGrid>
      <w:tr>
        <w:tc>
          <w:tcPr>
            <w:tcW w:type="dxa" w:w="4752"/>
            <w:shd w:val="clear" w:color="auto" w:fill="FAFAFA"/>
            <w:tcBorders>
              <w:top w:val="single" w:sz="4" w:space="0" w:color="FFFFFF"/>
              <w:left w:val="single" w:sz="4" w:space="0" w:color="FFFFFF"/>
              <w:bottom w:val="single" w:sz="4" w:space="0" w:color="FFFFFF"/>
              <w:right w:val="single" w:sz="4" w:space="0" w:color="FFFFFF"/>
            </w:tcBorders>
            <w:tcMar>
              <w:top w:w="200" w:type="dxa"/>
              <w:bottom w:w="60" w:type="dxa"/>
              <w:left w:w="200" w:type="dxa"/>
              <w:right w:w="200" w:type="dxa"/>
            </w:tcMar>
          </w:tcPr>
          <w:p>
            <w:pPr>
              <w:jc w:val="center"/>
            </w:pPr>
            <w:r/>
          </w:p>
          <w:p>
            <w:pPr>
              <w:jc w:val="center"/>
            </w:pPr>
            <w:r>
              <w:rPr>
                <w:color w:val="333333"/>
                <w:sz w:val="22"/>
              </w:rPr>
              <w:t>________________________________</w:t>
            </w:r>
          </w:p>
          <w:p>
            <w:pPr>
              <w:jc w:val="center"/>
            </w:pPr>
            <w:r>
              <w:rPr>
                <w:b/>
                <w:color w:val="1A5276"/>
                <w:sz w:val="22"/>
              </w:rPr>
              <w:t>Juan Andrés Salazar</w:t>
            </w:r>
          </w:p>
          <w:p>
            <w:pPr>
              <w:jc w:val="center"/>
            </w:pPr>
            <w:r>
              <w:rPr>
                <w:color w:val="777777"/>
                <w:sz w:val="20"/>
              </w:rPr>
              <w:t>C.C. N° _______________</w:t>
            </w:r>
          </w:p>
        </w:tc>
        <w:tc>
          <w:tcPr>
            <w:tcW w:type="dxa" w:w="4752"/>
            <w:shd w:val="clear" w:color="auto" w:fill="FAFAFA"/>
            <w:tcBorders>
              <w:top w:val="single" w:sz="4" w:space="0" w:color="FFFFFF"/>
              <w:left w:val="single" w:sz="4" w:space="0" w:color="FFFFFF"/>
              <w:bottom w:val="single" w:sz="4" w:space="0" w:color="FFFFFF"/>
              <w:right w:val="single" w:sz="4" w:space="0" w:color="FFFFFF"/>
            </w:tcBorders>
            <w:tcMar>
              <w:top w:w="200" w:type="dxa"/>
              <w:bottom w:w="60" w:type="dxa"/>
              <w:left w:w="200" w:type="dxa"/>
              <w:right w:w="200" w:type="dxa"/>
            </w:tcMar>
          </w:tcPr>
          <w:p>
            <w:pPr>
              <w:jc w:val="center"/>
            </w:pPr>
            <w:r/>
          </w:p>
          <w:p>
            <w:pPr>
              <w:jc w:val="center"/>
            </w:pPr>
            <w:r>
              <w:rPr>
                <w:color w:val="333333"/>
                <w:sz w:val="22"/>
              </w:rPr>
              <w:t>________________________________</w:t>
            </w:r>
          </w:p>
          <w:p>
            <w:pPr>
              <w:jc w:val="center"/>
            </w:pPr>
            <w:r>
              <w:rPr>
                <w:b/>
                <w:color w:val="1A5276"/>
                <w:sz w:val="22"/>
              </w:rPr>
              <w:t>Juan Camilo Triana</w:t>
            </w:r>
          </w:p>
          <w:p>
            <w:pPr>
              <w:jc w:val="center"/>
            </w:pPr>
            <w:r>
              <w:rPr>
                <w:color w:val="777777"/>
                <w:sz w:val="20"/>
              </w:rPr>
              <w:t>C.C. N° _______________</w:t>
            </w:r>
          </w:p>
        </w:tc>
      </w:tr>
    </w:tbl>
    <w:p>
      <w:pPr>
        <w:spacing w:before="0" w:after="0"/>
      </w:pPr>
    </w:p>
    <w:p>
      <w:r>
        <w:br/>
      </w:r>
    </w:p>
    <w:p>
      <w:pPr>
        <w:spacing w:before="360" w:after="200"/>
        <w:shd w:val="clear" w:color="auto" w:fill="1A5276"/>
      </w:pPr>
      <w:r>
        <w:rPr>
          <w:b/>
          <w:color w:val="FFFFFF"/>
          <w:sz w:val="30"/>
        </w:rPr>
        <w:t xml:space="preserve">  DOCUMENTO B — ESTATUTOS DE FINANZASU S.A.S.</w:t>
      </w:r>
    </w:p>
    <w:p>
      <w:pPr>
        <w:spacing w:before="120" w:after="160"/>
        <w:jc w:val="both"/>
      </w:pPr>
      <w:r>
        <w:rPr>
          <w:b w:val="0"/>
          <w:i w:val="0"/>
          <w:color w:val="2C3E50"/>
          <w:sz w:val="22"/>
        </w:rPr>
        <w:t>Los presentes estatutos regulan el funcionamiento de la Sociedad por Acciones Simplificada FINANZASU S.A.S., constituida conforme a la Ley 1258 de 2008 de la República de Colombia.</w:t>
      </w:r>
    </w:p>
    <w:p>
      <w:pPr>
        <w:spacing w:before="280" w:after="160"/>
        <w:shd w:val="clear" w:color="auto" w:fill="1F618D"/>
      </w:pPr>
      <w:r>
        <w:rPr>
          <w:b/>
          <w:color w:val="FFFFFF"/>
          <w:sz w:val="24"/>
        </w:rPr>
        <w:t xml:space="preserve">  CAPÍTULO I — GENERALIDADES</w:t>
      </w:r>
    </w:p>
    <w:p>
      <w:pPr>
        <w:spacing w:before="160" w:after="60"/>
      </w:pPr>
      <w:r>
        <w:rPr>
          <w:b/>
          <w:color w:val="1A5276"/>
          <w:sz w:val="22"/>
        </w:rPr>
        <w:t>Artículo 1 — Razón social</w:t>
      </w:r>
    </w:p>
    <w:p>
      <w:pPr>
        <w:spacing w:before="40" w:after="120"/>
        <w:jc w:val="both"/>
      </w:pPr>
      <w:r>
        <w:rPr>
          <w:b w:val="0"/>
          <w:i w:val="0"/>
          <w:color w:val="2C3E50"/>
          <w:sz w:val="22"/>
        </w:rPr>
        <w:t>La sociedad se denominará FINANZASU S.A.S. y se identifica con el NIT que le asigne la DIAN al momento de su registro.</w:t>
      </w:r>
    </w:p>
    <w:p>
      <w:pPr>
        <w:spacing w:before="160" w:after="60"/>
      </w:pPr>
      <w:r>
        <w:rPr>
          <w:b/>
          <w:color w:val="1A5276"/>
          <w:sz w:val="22"/>
        </w:rPr>
        <w:t>Artículo 2 — Domicilio</w:t>
      </w:r>
    </w:p>
    <w:p>
      <w:pPr>
        <w:spacing w:before="40" w:after="120"/>
        <w:jc w:val="both"/>
      </w:pPr>
      <w:r>
        <w:rPr>
          <w:b w:val="0"/>
          <w:i w:val="0"/>
          <w:color w:val="2C3E50"/>
          <w:sz w:val="22"/>
        </w:rPr>
        <w:t>El domicilio principal de la sociedad es el municipio de Zarzal, departamento del Valle del Cauca. La sociedad podrá establecer sucursales, agencias o establecimientos de comercio en cualquier lugar del territorio nacional o en el exterior.</w:t>
      </w:r>
    </w:p>
    <w:p>
      <w:pPr>
        <w:spacing w:before="160" w:after="60"/>
      </w:pPr>
      <w:r>
        <w:rPr>
          <w:b/>
          <w:color w:val="1A5276"/>
          <w:sz w:val="22"/>
        </w:rPr>
        <w:t>Artículo 3 — Objeto social</w:t>
      </w:r>
    </w:p>
    <w:p>
      <w:pPr>
        <w:spacing w:before="40" w:after="120"/>
        <w:jc w:val="both"/>
      </w:pPr>
      <w:r>
        <w:rPr>
          <w:b w:val="0"/>
          <w:i w:val="0"/>
          <w:color w:val="2C3E50"/>
          <w:sz w:val="22"/>
        </w:rPr>
        <w:t>El objeto social de FINANZASU S.A.S. comprende el desarrollo y comercialización de software financiero educativo; la prestación de servicios de consultoría en educación financiera; el diseño y desarrollo de plataformas web y aplicaciones móviles; y cualquier actividad lícita de comercio o servicios conexa o complementaria al objeto principal.</w:t>
      </w:r>
    </w:p>
    <w:p>
      <w:pPr>
        <w:spacing w:before="160" w:after="60"/>
      </w:pPr>
      <w:r>
        <w:rPr>
          <w:b/>
          <w:color w:val="1A5276"/>
          <w:sz w:val="22"/>
        </w:rPr>
        <w:t>Artículo 4 — Duración</w:t>
      </w:r>
    </w:p>
    <w:p>
      <w:pPr>
        <w:spacing w:before="40" w:after="120"/>
        <w:jc w:val="both"/>
      </w:pPr>
      <w:r>
        <w:rPr>
          <w:b w:val="0"/>
          <w:i w:val="0"/>
          <w:color w:val="2C3E50"/>
          <w:sz w:val="22"/>
        </w:rPr>
        <w:t>La sociedad tendrá duración indefinida a partir de la fecha de su inscripción en el Registro Mercantil.</w:t>
      </w:r>
    </w:p>
    <w:p>
      <w:pPr>
        <w:spacing w:before="280" w:after="160"/>
        <w:shd w:val="clear" w:color="auto" w:fill="1F618D"/>
      </w:pPr>
      <w:r>
        <w:rPr>
          <w:b/>
          <w:color w:val="FFFFFF"/>
          <w:sz w:val="24"/>
        </w:rPr>
        <w:t xml:space="preserve">  CAPÍTULO II — CAPITAL SOCIAL</w:t>
      </w:r>
    </w:p>
    <w:p>
      <w:pPr>
        <w:spacing w:before="160" w:after="60"/>
      </w:pPr>
      <w:r>
        <w:rPr>
          <w:b/>
          <w:color w:val="1A5276"/>
          <w:sz w:val="22"/>
        </w:rPr>
        <w:t>Artículo 5 — Capital autorizado</w:t>
      </w:r>
    </w:p>
    <w:p>
      <w:pPr>
        <w:spacing w:before="40" w:after="120"/>
        <w:jc w:val="both"/>
      </w:pPr>
      <w:r>
        <w:rPr>
          <w:b w:val="0"/>
          <w:i w:val="0"/>
          <w:color w:val="2C3E50"/>
          <w:sz w:val="22"/>
        </w:rPr>
        <w:t>El capital autorizado de la sociedad es de CUATRO MILLONES DE PESOS ($4.000.000 COP), representado en 4.000 acciones ordinarias de valor nominal de MIL PESOS ($1.000 COP) cada una.</w:t>
      </w:r>
    </w:p>
    <w:p>
      <w:pPr>
        <w:spacing w:before="160" w:after="60"/>
      </w:pPr>
      <w:r>
        <w:rPr>
          <w:b/>
          <w:color w:val="1A5276"/>
          <w:sz w:val="22"/>
        </w:rPr>
        <w:t>Artículo 6 — Capital suscrito y pagado</w:t>
      </w:r>
    </w:p>
    <w:p>
      <w:pPr>
        <w:spacing w:before="40" w:after="120"/>
        <w:jc w:val="both"/>
      </w:pPr>
      <w:r>
        <w:rPr>
          <w:b w:val="0"/>
          <w:i w:val="0"/>
          <w:color w:val="2C3E50"/>
          <w:sz w:val="22"/>
        </w:rPr>
        <w:t>El capital suscrito y pagado al momento de la constitución es de CUATRO MILLONES DE PESOS ($4.000.000 COP), íntegramente aportado por los 4 socios fundadores en partes iguales.</w:t>
      </w:r>
    </w:p>
    <w:p>
      <w:pPr>
        <w:spacing w:before="160" w:after="60"/>
      </w:pPr>
      <w:r>
        <w:rPr>
          <w:b/>
          <w:color w:val="1A5276"/>
          <w:sz w:val="22"/>
        </w:rPr>
        <w:t>Artículo 7 — Acciones</w:t>
      </w:r>
    </w:p>
    <w:p>
      <w:pPr>
        <w:spacing w:before="40" w:after="120"/>
        <w:jc w:val="both"/>
      </w:pPr>
      <w:r>
        <w:rPr>
          <w:b w:val="0"/>
          <w:i w:val="0"/>
          <w:color w:val="2C3E50"/>
          <w:sz w:val="22"/>
        </w:rPr>
        <w:t>Las acciones son nominativas, indivisibles y libremente negociables entre los accionistas. La transferencia a terceros requerirá derecho de preferencia de los demás accionistas por un término de 15 días hábiles.</w:t>
      </w:r>
    </w:p>
    <w:p>
      <w:pPr>
        <w:spacing w:before="280" w:after="160"/>
        <w:shd w:val="clear" w:color="auto" w:fill="1F618D"/>
      </w:pPr>
      <w:r>
        <w:rPr>
          <w:b/>
          <w:color w:val="FFFFFF"/>
          <w:sz w:val="24"/>
        </w:rPr>
        <w:t xml:space="preserve">  CAPÍTULO III — ÓRGANOS DE ADMINISTRACIÓN</w:t>
      </w:r>
    </w:p>
    <w:p>
      <w:pPr>
        <w:spacing w:before="160" w:after="60"/>
      </w:pPr>
      <w:r>
        <w:rPr>
          <w:b/>
          <w:color w:val="1A5276"/>
          <w:sz w:val="22"/>
        </w:rPr>
        <w:t>Artículo 8 — Asamblea de Accionistas</w:t>
      </w:r>
    </w:p>
    <w:p>
      <w:pPr>
        <w:spacing w:before="40" w:after="120"/>
        <w:jc w:val="both"/>
      </w:pPr>
      <w:r>
        <w:rPr>
          <w:b w:val="0"/>
          <w:i w:val="0"/>
          <w:color w:val="2C3E50"/>
          <w:sz w:val="22"/>
        </w:rPr>
        <w:t>La Asamblea de Accionistas es el máximo órgano de dirección de la sociedad. Se reunirá ordinariamente una vez al año dentro de los 3 meses siguientes al cierre del ejercicio fiscal y extraordinariamente cuando sea convocada por el Representante Legal. Las decisiones se tomarán por mayoría simple de votos presentes, excepto las que requieran mayoría calificada según la ley.</w:t>
      </w:r>
    </w:p>
    <w:p>
      <w:pPr>
        <w:spacing w:before="160" w:after="60"/>
      </w:pPr>
      <w:r>
        <w:rPr>
          <w:b/>
          <w:color w:val="1A5276"/>
          <w:sz w:val="22"/>
        </w:rPr>
        <w:t>Artículo 9 — Representante Legal</w:t>
      </w:r>
    </w:p>
    <w:p>
      <w:pPr>
        <w:spacing w:before="40" w:after="120"/>
        <w:jc w:val="both"/>
      </w:pPr>
      <w:r>
        <w:rPr>
          <w:b w:val="0"/>
          <w:i w:val="0"/>
          <w:color w:val="2C3E50"/>
          <w:sz w:val="22"/>
        </w:rPr>
        <w:t>La sociedad tendrá un Representante Legal Principal designado por la Asamblea de Accionistas, con un período de un año renovable. El Representante Legal tendrá amplias facultades para ejecutar todos los actos y contratos comprendidos dentro del objeto social de la sociedad.</w:t>
      </w:r>
    </w:p>
    <w:p>
      <w:pPr>
        <w:spacing w:before="160" w:after="60"/>
      </w:pPr>
      <w:r>
        <w:rPr>
          <w:b/>
          <w:color w:val="1A5276"/>
          <w:sz w:val="22"/>
        </w:rPr>
        <w:t>Artículo 10 — Funciones del Representante Legal</w:t>
      </w:r>
    </w:p>
    <w:p>
      <w:pPr>
        <w:spacing w:before="40" w:after="120"/>
        <w:jc w:val="both"/>
      </w:pPr>
      <w:r>
        <w:rPr>
          <w:b w:val="0"/>
          <w:i w:val="0"/>
          <w:color w:val="2C3E50"/>
          <w:sz w:val="22"/>
        </w:rPr>
        <w:t>Representar a la sociedad ante toda clase de autoridades judiciales, administrativas y particulares; celebrar contratos; abrir y manejar cuentas bancarias; contratar personal; y demás actos necesarios para el cumplimiento del objeto social.</w:t>
      </w:r>
    </w:p>
    <w:p>
      <w:pPr>
        <w:spacing w:before="280" w:after="160"/>
        <w:shd w:val="clear" w:color="auto" w:fill="1F618D"/>
      </w:pPr>
      <w:r>
        <w:rPr>
          <w:b/>
          <w:color w:val="FFFFFF"/>
          <w:sz w:val="24"/>
        </w:rPr>
        <w:t xml:space="preserve">  CAPÍTULO IV — ESTADOS FINANCIEROS Y UTILIDADES</w:t>
      </w:r>
    </w:p>
    <w:p>
      <w:pPr>
        <w:spacing w:before="160" w:after="60"/>
      </w:pPr>
      <w:r>
        <w:rPr>
          <w:b/>
          <w:color w:val="1A5276"/>
          <w:sz w:val="22"/>
        </w:rPr>
        <w:t>Artículo 11 — Ejercicio fiscal</w:t>
      </w:r>
    </w:p>
    <w:p>
      <w:pPr>
        <w:spacing w:before="40" w:after="120"/>
        <w:jc w:val="both"/>
      </w:pPr>
      <w:r>
        <w:rPr>
          <w:b w:val="0"/>
          <w:i w:val="0"/>
          <w:color w:val="2C3E50"/>
          <w:sz w:val="22"/>
        </w:rPr>
        <w:t>El ejercicio fiscal de la sociedad comenzará el 1° de enero y terminará el 31 de diciembre de cada año.</w:t>
      </w:r>
    </w:p>
    <w:p>
      <w:pPr>
        <w:spacing w:before="160" w:after="60"/>
      </w:pPr>
      <w:r>
        <w:rPr>
          <w:b/>
          <w:color w:val="1A5276"/>
          <w:sz w:val="22"/>
        </w:rPr>
        <w:t>Artículo 12 — Reserva legal</w:t>
      </w:r>
    </w:p>
    <w:p>
      <w:pPr>
        <w:spacing w:before="40" w:after="120"/>
        <w:jc w:val="both"/>
      </w:pPr>
      <w:r>
        <w:rPr>
          <w:b w:val="0"/>
          <w:i w:val="0"/>
          <w:color w:val="2C3E50"/>
          <w:sz w:val="22"/>
        </w:rPr>
        <w:t>De las utilidades netas de cada ejercicio se destinará el 10% para constituir la reserva legal, hasta que dicha reserva alcance el 50% del capital suscrito.</w:t>
      </w:r>
    </w:p>
    <w:p>
      <w:pPr>
        <w:spacing w:before="160" w:after="60"/>
      </w:pPr>
      <w:r>
        <w:rPr>
          <w:b/>
          <w:color w:val="1A5276"/>
          <w:sz w:val="22"/>
        </w:rPr>
        <w:t>Artículo 13 — Reparto de utilidades</w:t>
      </w:r>
    </w:p>
    <w:p>
      <w:pPr>
        <w:spacing w:before="40" w:after="120"/>
        <w:jc w:val="both"/>
      </w:pPr>
      <w:r>
        <w:rPr>
          <w:b w:val="0"/>
          <w:i w:val="0"/>
          <w:color w:val="2C3E50"/>
          <w:sz w:val="22"/>
        </w:rPr>
        <w:t>Las utilidades remanentes serán distribuidas entre los accionistas en proporción a su participación accionaria, por decisión de la Asamblea de Accionistas.</w:t>
      </w:r>
    </w:p>
    <w:p>
      <w:pPr>
        <w:spacing w:before="280" w:after="160"/>
        <w:shd w:val="clear" w:color="auto" w:fill="1F618D"/>
      </w:pPr>
      <w:r>
        <w:rPr>
          <w:b/>
          <w:color w:val="FFFFFF"/>
          <w:sz w:val="24"/>
        </w:rPr>
        <w:t xml:space="preserve">  CAPÍTULO V — DISOLUCIÓN Y LIQUIDACIÓN</w:t>
      </w:r>
    </w:p>
    <w:p>
      <w:pPr>
        <w:spacing w:before="160" w:after="60"/>
      </w:pPr>
      <w:r>
        <w:rPr>
          <w:b/>
          <w:color w:val="1A5276"/>
          <w:sz w:val="22"/>
        </w:rPr>
        <w:t>Artículo 14 — Causales de disolución</w:t>
      </w:r>
    </w:p>
    <w:p>
      <w:pPr>
        <w:spacing w:before="40" w:after="120"/>
        <w:jc w:val="both"/>
      </w:pPr>
      <w:r>
        <w:rPr>
          <w:b w:val="0"/>
          <w:i w:val="0"/>
          <w:color w:val="2C3E50"/>
          <w:sz w:val="22"/>
        </w:rPr>
        <w:t>La sociedad se disolverá por: vencimiento del término (si se estipula uno), por decisión de los accionistas que representen el 100% de las acciones suscritas, por imposibilidad de desarrollar el objeto social, y por las demás causales establecidas en la Ley 1258 de 2008 y el Código de Comercio.</w:t>
      </w:r>
    </w:p>
    <w:p>
      <w:pPr>
        <w:spacing w:before="160" w:after="60"/>
      </w:pPr>
      <w:r>
        <w:rPr>
          <w:b/>
          <w:color w:val="1A5276"/>
          <w:sz w:val="22"/>
        </w:rPr>
        <w:t>Artículo 15 — Liquidación</w:t>
      </w:r>
    </w:p>
    <w:p>
      <w:pPr>
        <w:spacing w:before="40" w:after="120"/>
        <w:jc w:val="both"/>
      </w:pPr>
      <w:r>
        <w:rPr>
          <w:b w:val="0"/>
          <w:i w:val="0"/>
          <w:color w:val="2C3E50"/>
          <w:sz w:val="22"/>
        </w:rPr>
        <w:t>En caso de disolución, la sociedad conservará su personería jurídica para efectos de la liquidación. El Representante Legal actuará como liquidador, salvo que la Asamblea designe uno diferente. El remanente del patrimonio se distribuirá entre los accionistas en proporción a su participación accionaria.</w:t>
      </w:r>
    </w:p>
    <w:p>
      <w:pPr>
        <w:spacing w:before="360" w:after="200"/>
        <w:shd w:val="clear" w:color="auto" w:fill="1A5276"/>
      </w:pPr>
      <w:r>
        <w:rPr>
          <w:b/>
          <w:color w:val="FFFFFF"/>
          <w:sz w:val="30"/>
        </w:rPr>
        <w:t xml:space="preserve">  DOCUMENTO C — FICHA DE DATOS PARA REGISTRO MERCANTIL</w:t>
      </w:r>
    </w:p>
    <w:p>
      <w:pPr>
        <w:spacing w:before="80" w:after="160"/>
        <w:jc w:val="both"/>
      </w:pPr>
      <w:r>
        <w:rPr>
          <w:b w:val="0"/>
          <w:i w:val="0"/>
          <w:color w:val="2C3E50"/>
          <w:sz w:val="22"/>
        </w:rPr>
        <w:t>Este formulario resume los datos necesarios para el trámite de registro ante la Cámara de Comercio competente y la inscripción en el RUT ante la DIAN.</w:t>
      </w:r>
    </w:p>
    <w:tbl>
      <w:tblPr>
        <w:tblStyle w:val="TableGrid"/>
        <w:tblW w:type="auto" w:w="0"/>
        <w:tblLook w:firstColumn="1" w:firstRow="1" w:lastColumn="0" w:lastRow="0" w:noHBand="0" w:noVBand="1" w:val="04A0"/>
      </w:tblPr>
      <w:tblGrid>
        <w:gridCol w:w="4392"/>
        <w:gridCol w:w="4392"/>
      </w:tblGrid>
      <w:tr>
        <w:tc>
          <w:tcPr>
            <w:tcW w:type="dxa" w:w="360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Campo</w:t>
            </w:r>
          </w:p>
        </w:tc>
        <w:tc>
          <w:tcPr>
            <w:tcW w:type="dxa" w:w="676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Información</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Razón social</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FINANZASU S.A.S.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Tipo de sociedad</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Sociedad por Acciones Simplificada (S.A.S.) — Ley 1258 de 2008</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Domicilio principal</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Zarzal, Valle del Cauca, Colombia</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Objeto social principal</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Desarrollo y comercialización de software financiero educativo</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Capital autorizado</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$4.000.000 COP</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Capital suscrito y pagado</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$4.000.000 COP</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N° de accionistas</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4 socios fundadores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Representante Legal</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Kevin Marino Villafañe Galindo — C.C. N° _______________</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Correo electrónico</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finanzasu.app@gmail.com (por definir)</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Teléfono de contacto</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_________________</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Actividad económica (CIIU)</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6201 — Actividades de desarrollo de sistemas informáticos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Régimen tributario</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Régimen Simple de Tributación o Régimen Ordinario (a definir con asesor)</w:t>
            </w:r>
          </w:p>
        </w:tc>
      </w:tr>
      <w:tr>
        <w:tc>
          <w:tcPr>
            <w:tcW w:type="dxa" w:w="360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Documentos requeridos</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Acta de constitución firmada, copia C.C. de todos los socios, formulario Registro Único Empresarial (RUES), recibo de pago de derechos de registro, PRE-RUT</w:t>
            </w:r>
          </w:p>
        </w:tc>
      </w:tr>
    </w:tbl>
    <w:p>
      <w:pPr>
        <w:spacing w:before="0" w:after="0"/>
      </w:pPr>
    </w:p>
    <w:p>
      <w:pPr>
        <w:spacing w:before="160" w:after="80"/>
        <w:jc w:val="both"/>
      </w:pPr>
      <w:r>
        <w:rPr>
          <w:b w:val="0"/>
          <w:i/>
          <w:color w:val="777777"/>
          <w:sz w:val="22"/>
        </w:rPr>
        <w:t>NOTA: Los presentes documentos tienen carácter académico y educativo. Para la constitución legal efectiva de la empresa se recomienda contar con el acompañamiento de un abogado o asesor jurídico y verificar los requisitos vigentes en la Cámara de Comercio del municipio de Zarzal.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