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6446C" w14:textId="77777777" w:rsidR="005A49D5" w:rsidRDefault="005A49D5" w:rsidP="005A49D5">
      <w:pPr>
        <w:spacing w:after="240" w:line="360" w:lineRule="auto"/>
        <w:rPr>
          <w:rFonts w:ascii="Arial" w:hAnsi="Arial" w:cs="Arial"/>
        </w:rPr>
      </w:pPr>
    </w:p>
    <w:p w14:paraId="2C6BC159" w14:textId="77777777" w:rsidR="005A49D5" w:rsidRDefault="005A49D5" w:rsidP="005A49D5">
      <w:pPr>
        <w:spacing w:after="240" w:line="360" w:lineRule="auto"/>
        <w:rPr>
          <w:rFonts w:ascii="Arial" w:hAnsi="Arial" w:cs="Arial"/>
        </w:rPr>
      </w:pPr>
    </w:p>
    <w:p w14:paraId="3CE52C34" w14:textId="77777777" w:rsidR="005A49D5" w:rsidRDefault="005A49D5" w:rsidP="005A49D5">
      <w:pPr>
        <w:spacing w:after="240" w:line="360" w:lineRule="auto"/>
        <w:rPr>
          <w:rFonts w:ascii="Arial" w:hAnsi="Arial" w:cs="Arial"/>
        </w:rPr>
      </w:pPr>
    </w:p>
    <w:p w14:paraId="3EDD9B8F" w14:textId="77777777" w:rsidR="005A49D5" w:rsidRDefault="005A49D5" w:rsidP="005A49D5">
      <w:pPr>
        <w:spacing w:after="240" w:line="360" w:lineRule="auto"/>
        <w:rPr>
          <w:rFonts w:ascii="Arial" w:hAnsi="Arial" w:cs="Arial"/>
        </w:rPr>
      </w:pPr>
    </w:p>
    <w:p w14:paraId="56A5A087" w14:textId="77777777" w:rsidR="005A49D5" w:rsidRDefault="005A49D5" w:rsidP="005A49D5">
      <w:pPr>
        <w:spacing w:after="240" w:line="360" w:lineRule="auto"/>
        <w:rPr>
          <w:rFonts w:ascii="Arial" w:hAnsi="Arial" w:cs="Arial"/>
        </w:rPr>
      </w:pPr>
    </w:p>
    <w:p w14:paraId="2B0C443E" w14:textId="77777777" w:rsidR="005A49D5" w:rsidRDefault="005A49D5" w:rsidP="005A49D5">
      <w:pPr>
        <w:pBdr>
          <w:bottom w:val="single" w:sz="6" w:space="1" w:color="auto"/>
        </w:pBdr>
        <w:spacing w:after="240" w:line="360" w:lineRule="auto"/>
        <w:rPr>
          <w:rFonts w:ascii="Arial" w:hAnsi="Arial" w:cs="Arial"/>
        </w:rPr>
      </w:pPr>
    </w:p>
    <w:p w14:paraId="10A2D944" w14:textId="77777777" w:rsidR="005A49D5" w:rsidRPr="00952C4B" w:rsidRDefault="005A49D5" w:rsidP="005A49D5">
      <w:pPr>
        <w:spacing w:after="240" w:line="360" w:lineRule="auto"/>
        <w:jc w:val="center"/>
        <w:rPr>
          <w:rFonts w:ascii="Arial" w:hAnsi="Arial" w:cs="Arial"/>
          <w:sz w:val="28"/>
          <w:szCs w:val="28"/>
        </w:rPr>
      </w:pPr>
    </w:p>
    <w:p w14:paraId="5275B7E7" w14:textId="2418F8A6" w:rsidR="005A49D5" w:rsidRPr="00F224AF" w:rsidRDefault="005A49D5" w:rsidP="005A49D5">
      <w:pPr>
        <w:spacing w:after="240" w:line="360" w:lineRule="auto"/>
        <w:jc w:val="center"/>
        <w:rPr>
          <w:rFonts w:ascii="Arial" w:hAnsi="Arial" w:cs="Arial"/>
          <w:sz w:val="40"/>
          <w:szCs w:val="40"/>
        </w:rPr>
      </w:pPr>
      <w:r>
        <w:rPr>
          <w:rFonts w:ascii="Arial" w:hAnsi="Arial" w:cs="Arial"/>
          <w:sz w:val="40"/>
          <w:szCs w:val="40"/>
        </w:rPr>
        <w:t>Problemática Actual</w:t>
      </w:r>
    </w:p>
    <w:p w14:paraId="091D0D96" w14:textId="7BD0586D" w:rsidR="005A49D5" w:rsidRDefault="005A49D5" w:rsidP="005A49D5">
      <w:pPr>
        <w:pBdr>
          <w:bottom w:val="single" w:sz="6" w:space="1" w:color="auto"/>
        </w:pBdr>
        <w:spacing w:after="240" w:line="360" w:lineRule="auto"/>
        <w:jc w:val="center"/>
        <w:rPr>
          <w:rFonts w:ascii="Arial" w:hAnsi="Arial" w:cs="Arial"/>
          <w:sz w:val="28"/>
          <w:szCs w:val="28"/>
        </w:rPr>
      </w:pPr>
      <w:r w:rsidRPr="00F224AF">
        <w:rPr>
          <w:rFonts w:ascii="Arial" w:hAnsi="Arial" w:cs="Arial"/>
          <w:sz w:val="28"/>
          <w:szCs w:val="28"/>
        </w:rPr>
        <w:t>SRICA_00</w:t>
      </w:r>
      <w:r w:rsidR="000E5660">
        <w:rPr>
          <w:rFonts w:ascii="Arial" w:hAnsi="Arial" w:cs="Arial"/>
          <w:sz w:val="28"/>
          <w:szCs w:val="28"/>
        </w:rPr>
        <w:t>3</w:t>
      </w:r>
      <w:r>
        <w:rPr>
          <w:rFonts w:ascii="Arial" w:hAnsi="Arial" w:cs="Arial"/>
          <w:sz w:val="28"/>
          <w:szCs w:val="28"/>
        </w:rPr>
        <w:t>_000</w:t>
      </w:r>
    </w:p>
    <w:p w14:paraId="3A9EDFDA" w14:textId="77777777" w:rsidR="005A49D5" w:rsidRDefault="005A49D5" w:rsidP="005A49D5">
      <w:pPr>
        <w:pBdr>
          <w:bottom w:val="single" w:sz="6" w:space="1" w:color="auto"/>
        </w:pBdr>
        <w:spacing w:after="240" w:line="360" w:lineRule="auto"/>
        <w:jc w:val="center"/>
        <w:rPr>
          <w:rFonts w:ascii="Arial" w:hAnsi="Arial" w:cs="Arial"/>
          <w:sz w:val="28"/>
          <w:szCs w:val="28"/>
        </w:rPr>
      </w:pPr>
    </w:p>
    <w:p w14:paraId="7BFE760C" w14:textId="77777777" w:rsidR="005A49D5" w:rsidRDefault="005A49D5" w:rsidP="005A49D5">
      <w:pPr>
        <w:spacing w:after="240" w:line="360" w:lineRule="auto"/>
        <w:rPr>
          <w:rFonts w:ascii="Arial" w:hAnsi="Arial" w:cs="Arial"/>
          <w:sz w:val="32"/>
          <w:szCs w:val="32"/>
        </w:rPr>
      </w:pPr>
    </w:p>
    <w:p w14:paraId="6C03B1FA" w14:textId="77777777" w:rsidR="005A49D5" w:rsidRPr="00F224AF" w:rsidRDefault="005A49D5" w:rsidP="005A49D5">
      <w:pPr>
        <w:spacing w:after="240" w:line="360" w:lineRule="auto"/>
        <w:rPr>
          <w:rFonts w:ascii="Arial" w:hAnsi="Arial" w:cs="Arial"/>
          <w:sz w:val="32"/>
          <w:szCs w:val="32"/>
        </w:rPr>
      </w:pPr>
      <w:r w:rsidRPr="00F224AF">
        <w:rPr>
          <w:rFonts w:ascii="Arial" w:hAnsi="Arial" w:cs="Arial"/>
          <w:sz w:val="32"/>
          <w:szCs w:val="32"/>
        </w:rPr>
        <w:t>Proyecto:</w:t>
      </w:r>
    </w:p>
    <w:p w14:paraId="64CFBB54" w14:textId="4BD4DEA7" w:rsidR="005A49D5" w:rsidRDefault="005A49D5" w:rsidP="005A49D5">
      <w:pPr>
        <w:spacing w:after="240" w:line="360" w:lineRule="auto"/>
        <w:jc w:val="both"/>
        <w:rPr>
          <w:rFonts w:ascii="Arial" w:hAnsi="Arial" w:cs="Arial"/>
          <w:sz w:val="32"/>
          <w:szCs w:val="32"/>
        </w:rPr>
      </w:pPr>
      <w:r w:rsidRPr="00F224AF">
        <w:rPr>
          <w:rFonts w:ascii="Arial" w:hAnsi="Arial" w:cs="Arial"/>
          <w:sz w:val="32"/>
          <w:szCs w:val="32"/>
        </w:rPr>
        <w:t>“</w:t>
      </w:r>
      <w:r w:rsidR="00CC4F0A">
        <w:rPr>
          <w:rFonts w:ascii="Arial" w:hAnsi="Arial" w:cs="Arial"/>
          <w:sz w:val="32"/>
          <w:szCs w:val="32"/>
        </w:rPr>
        <w:t>Uso de Sistema de Reconocimiento de Iris basado en Deep Learning para la identificación humana en el control de acceso al área de Tesorería del Gobierno Regional de Tacna – Tacna 2020</w:t>
      </w:r>
      <w:r w:rsidRPr="00F224AF">
        <w:rPr>
          <w:rFonts w:ascii="Arial" w:hAnsi="Arial" w:cs="Arial"/>
          <w:sz w:val="32"/>
          <w:szCs w:val="32"/>
        </w:rPr>
        <w:t>”</w:t>
      </w:r>
    </w:p>
    <w:p w14:paraId="2DDB47C9" w14:textId="42C0E348" w:rsidR="00817972" w:rsidRDefault="008F6BEC" w:rsidP="005A49D5">
      <w:pPr>
        <w:spacing w:line="360" w:lineRule="auto"/>
        <w:rPr>
          <w:rFonts w:ascii="Arial" w:hAnsi="Arial" w:cs="Arial"/>
        </w:rPr>
      </w:pPr>
    </w:p>
    <w:p w14:paraId="7CDC1F30" w14:textId="23A57312" w:rsidR="008A19FF" w:rsidRDefault="008A19FF" w:rsidP="005A49D5">
      <w:pPr>
        <w:spacing w:line="360" w:lineRule="auto"/>
        <w:rPr>
          <w:rFonts w:ascii="Arial" w:hAnsi="Arial" w:cs="Arial"/>
        </w:rPr>
      </w:pPr>
    </w:p>
    <w:p w14:paraId="1D3C2C1E" w14:textId="287545AE" w:rsidR="008A19FF" w:rsidRDefault="008A19FF" w:rsidP="005A49D5">
      <w:pPr>
        <w:spacing w:line="360" w:lineRule="auto"/>
        <w:rPr>
          <w:rFonts w:ascii="Arial" w:hAnsi="Arial" w:cs="Arial"/>
        </w:rPr>
      </w:pPr>
    </w:p>
    <w:p w14:paraId="35FEE254" w14:textId="0E3D7A40" w:rsidR="008A19FF" w:rsidRDefault="008A19FF" w:rsidP="005A49D5">
      <w:pPr>
        <w:spacing w:line="360" w:lineRule="auto"/>
        <w:rPr>
          <w:rFonts w:ascii="Arial" w:hAnsi="Arial" w:cs="Arial"/>
        </w:rPr>
      </w:pPr>
    </w:p>
    <w:p w14:paraId="67879289" w14:textId="570D6ED4" w:rsidR="008A19FF" w:rsidRDefault="008A19FF" w:rsidP="005A49D5">
      <w:pPr>
        <w:spacing w:line="360" w:lineRule="auto"/>
        <w:rPr>
          <w:rFonts w:ascii="Arial" w:hAnsi="Arial" w:cs="Arial"/>
        </w:rPr>
      </w:pPr>
    </w:p>
    <w:p w14:paraId="3961ABC9" w14:textId="7307FFA7" w:rsidR="008A19FF" w:rsidRDefault="008A19FF" w:rsidP="005A49D5">
      <w:pPr>
        <w:spacing w:line="360" w:lineRule="auto"/>
        <w:rPr>
          <w:rFonts w:ascii="Arial" w:hAnsi="Arial" w:cs="Arial"/>
        </w:rPr>
      </w:pPr>
    </w:p>
    <w:tbl>
      <w:tblPr>
        <w:tblStyle w:val="Tablaconcuadrcula"/>
        <w:tblW w:w="8217" w:type="dxa"/>
        <w:tblLook w:val="04A0" w:firstRow="1" w:lastRow="0" w:firstColumn="1" w:lastColumn="0" w:noHBand="0" w:noVBand="1"/>
      </w:tblPr>
      <w:tblGrid>
        <w:gridCol w:w="1023"/>
        <w:gridCol w:w="1868"/>
        <w:gridCol w:w="1804"/>
        <w:gridCol w:w="1189"/>
        <w:gridCol w:w="2333"/>
      </w:tblGrid>
      <w:tr w:rsidR="008A19FF" w14:paraId="39074146" w14:textId="77777777" w:rsidTr="00B10F37">
        <w:trPr>
          <w:trHeight w:val="410"/>
        </w:trPr>
        <w:tc>
          <w:tcPr>
            <w:tcW w:w="8217" w:type="dxa"/>
            <w:gridSpan w:val="5"/>
            <w:shd w:val="clear" w:color="auto" w:fill="D9D9D9" w:themeFill="background1" w:themeFillShade="D9"/>
            <w:vAlign w:val="center"/>
          </w:tcPr>
          <w:p w14:paraId="17191A00" w14:textId="77777777" w:rsidR="008A19FF" w:rsidRPr="0074155D" w:rsidRDefault="008A19FF" w:rsidP="00B10F37">
            <w:pPr>
              <w:jc w:val="center"/>
              <w:rPr>
                <w:rFonts w:ascii="Arial" w:hAnsi="Arial" w:cs="Arial"/>
                <w:b/>
                <w:bCs/>
              </w:rPr>
            </w:pPr>
            <w:r w:rsidRPr="0074155D">
              <w:rPr>
                <w:rFonts w:ascii="Arial" w:hAnsi="Arial" w:cs="Arial"/>
                <w:b/>
                <w:bCs/>
              </w:rPr>
              <w:lastRenderedPageBreak/>
              <w:t>CONTROL DE VERSIONES</w:t>
            </w:r>
          </w:p>
        </w:tc>
      </w:tr>
      <w:tr w:rsidR="004A1311" w14:paraId="1B730A35" w14:textId="77777777" w:rsidTr="00B10F37">
        <w:trPr>
          <w:trHeight w:val="348"/>
        </w:trPr>
        <w:tc>
          <w:tcPr>
            <w:tcW w:w="962" w:type="dxa"/>
            <w:shd w:val="clear" w:color="auto" w:fill="F2F2F2" w:themeFill="background1" w:themeFillShade="F2"/>
            <w:vAlign w:val="center"/>
          </w:tcPr>
          <w:p w14:paraId="665FFB03" w14:textId="77777777" w:rsidR="008A19FF" w:rsidRPr="0074155D" w:rsidRDefault="008A19FF" w:rsidP="00B10F37">
            <w:pPr>
              <w:jc w:val="center"/>
              <w:rPr>
                <w:rFonts w:ascii="Arial" w:hAnsi="Arial" w:cs="Arial"/>
                <w:b/>
                <w:bCs/>
              </w:rPr>
            </w:pPr>
            <w:r w:rsidRPr="0074155D">
              <w:rPr>
                <w:rFonts w:ascii="Arial" w:hAnsi="Arial" w:cs="Arial"/>
                <w:b/>
                <w:bCs/>
              </w:rPr>
              <w:t>Versión</w:t>
            </w:r>
          </w:p>
        </w:tc>
        <w:tc>
          <w:tcPr>
            <w:tcW w:w="1443" w:type="dxa"/>
            <w:shd w:val="clear" w:color="auto" w:fill="F2F2F2" w:themeFill="background1" w:themeFillShade="F2"/>
            <w:vAlign w:val="center"/>
          </w:tcPr>
          <w:p w14:paraId="0B2D811A" w14:textId="77777777" w:rsidR="008A19FF" w:rsidRPr="0074155D" w:rsidRDefault="008A19FF" w:rsidP="00B10F37">
            <w:pPr>
              <w:jc w:val="center"/>
              <w:rPr>
                <w:rFonts w:ascii="Arial" w:hAnsi="Arial" w:cs="Arial"/>
                <w:b/>
                <w:bCs/>
              </w:rPr>
            </w:pPr>
            <w:r w:rsidRPr="0074155D">
              <w:rPr>
                <w:rFonts w:ascii="Arial" w:hAnsi="Arial" w:cs="Arial"/>
                <w:b/>
                <w:bCs/>
              </w:rPr>
              <w:t>Identificador</w:t>
            </w:r>
          </w:p>
        </w:tc>
        <w:tc>
          <w:tcPr>
            <w:tcW w:w="1985" w:type="dxa"/>
            <w:shd w:val="clear" w:color="auto" w:fill="F2F2F2" w:themeFill="background1" w:themeFillShade="F2"/>
            <w:vAlign w:val="center"/>
          </w:tcPr>
          <w:p w14:paraId="6BBE8235" w14:textId="77777777" w:rsidR="008A19FF" w:rsidRPr="0074155D" w:rsidRDefault="008A19FF" w:rsidP="00B10F37">
            <w:pPr>
              <w:jc w:val="center"/>
              <w:rPr>
                <w:rFonts w:ascii="Arial" w:hAnsi="Arial" w:cs="Arial"/>
                <w:b/>
                <w:bCs/>
              </w:rPr>
            </w:pPr>
            <w:r w:rsidRPr="0074155D">
              <w:rPr>
                <w:rFonts w:ascii="Arial" w:hAnsi="Arial" w:cs="Arial"/>
                <w:b/>
                <w:bCs/>
              </w:rPr>
              <w:t>Hech</w:t>
            </w:r>
            <w:r>
              <w:rPr>
                <w:rFonts w:ascii="Arial" w:hAnsi="Arial" w:cs="Arial"/>
                <w:b/>
                <w:bCs/>
              </w:rPr>
              <w:t>o</w:t>
            </w:r>
            <w:r w:rsidRPr="0074155D">
              <w:rPr>
                <w:rFonts w:ascii="Arial" w:hAnsi="Arial" w:cs="Arial"/>
                <w:b/>
                <w:bCs/>
              </w:rPr>
              <w:t xml:space="preserve"> por</w:t>
            </w:r>
          </w:p>
        </w:tc>
        <w:tc>
          <w:tcPr>
            <w:tcW w:w="1275" w:type="dxa"/>
            <w:shd w:val="clear" w:color="auto" w:fill="F2F2F2" w:themeFill="background1" w:themeFillShade="F2"/>
            <w:vAlign w:val="center"/>
          </w:tcPr>
          <w:p w14:paraId="06961B33" w14:textId="77777777" w:rsidR="008A19FF" w:rsidRPr="0074155D" w:rsidRDefault="008A19FF" w:rsidP="00B10F37">
            <w:pPr>
              <w:jc w:val="center"/>
              <w:rPr>
                <w:rFonts w:ascii="Arial" w:hAnsi="Arial" w:cs="Arial"/>
                <w:b/>
                <w:bCs/>
              </w:rPr>
            </w:pPr>
            <w:r w:rsidRPr="0074155D">
              <w:rPr>
                <w:rFonts w:ascii="Arial" w:hAnsi="Arial" w:cs="Arial"/>
                <w:b/>
                <w:bCs/>
              </w:rPr>
              <w:t>Fecha</w:t>
            </w:r>
          </w:p>
        </w:tc>
        <w:tc>
          <w:tcPr>
            <w:tcW w:w="2552" w:type="dxa"/>
            <w:shd w:val="clear" w:color="auto" w:fill="F2F2F2" w:themeFill="background1" w:themeFillShade="F2"/>
            <w:vAlign w:val="center"/>
          </w:tcPr>
          <w:p w14:paraId="479E3564" w14:textId="77777777" w:rsidR="008A19FF" w:rsidRPr="0074155D" w:rsidRDefault="008A19FF" w:rsidP="00B10F37">
            <w:pPr>
              <w:jc w:val="center"/>
              <w:rPr>
                <w:rFonts w:ascii="Arial" w:hAnsi="Arial" w:cs="Arial"/>
                <w:b/>
                <w:bCs/>
              </w:rPr>
            </w:pPr>
            <w:r w:rsidRPr="0074155D">
              <w:rPr>
                <w:rFonts w:ascii="Arial" w:hAnsi="Arial" w:cs="Arial"/>
                <w:b/>
                <w:bCs/>
              </w:rPr>
              <w:t>Motivo</w:t>
            </w:r>
          </w:p>
        </w:tc>
      </w:tr>
      <w:tr w:rsidR="004A1311" w14:paraId="6B7ACA9D" w14:textId="77777777" w:rsidTr="00B10F37">
        <w:trPr>
          <w:trHeight w:val="20"/>
        </w:trPr>
        <w:tc>
          <w:tcPr>
            <w:tcW w:w="962" w:type="dxa"/>
            <w:vAlign w:val="center"/>
          </w:tcPr>
          <w:p w14:paraId="275B54AB" w14:textId="77777777" w:rsidR="008A19FF" w:rsidRDefault="008A19FF" w:rsidP="0003634F">
            <w:pPr>
              <w:spacing w:after="240" w:line="360" w:lineRule="auto"/>
              <w:jc w:val="center"/>
              <w:rPr>
                <w:rFonts w:ascii="Arial" w:hAnsi="Arial" w:cs="Arial"/>
              </w:rPr>
            </w:pPr>
            <w:r>
              <w:rPr>
                <w:rFonts w:ascii="Arial" w:hAnsi="Arial" w:cs="Arial"/>
              </w:rPr>
              <w:t>1.0</w:t>
            </w:r>
          </w:p>
        </w:tc>
        <w:tc>
          <w:tcPr>
            <w:tcW w:w="1443" w:type="dxa"/>
            <w:vAlign w:val="center"/>
          </w:tcPr>
          <w:p w14:paraId="75CBED8C" w14:textId="7BDF672B" w:rsidR="008A19FF" w:rsidRDefault="008A19FF" w:rsidP="0003634F">
            <w:pPr>
              <w:spacing w:after="240" w:line="360" w:lineRule="auto"/>
              <w:jc w:val="center"/>
              <w:rPr>
                <w:rFonts w:ascii="Arial" w:hAnsi="Arial" w:cs="Arial"/>
              </w:rPr>
            </w:pPr>
            <w:r>
              <w:rPr>
                <w:rFonts w:ascii="Arial" w:hAnsi="Arial" w:cs="Arial"/>
              </w:rPr>
              <w:t>SRICA_00</w:t>
            </w:r>
            <w:r w:rsidR="000E5660">
              <w:rPr>
                <w:rFonts w:ascii="Arial" w:hAnsi="Arial" w:cs="Arial"/>
              </w:rPr>
              <w:t>3</w:t>
            </w:r>
            <w:r>
              <w:rPr>
                <w:rFonts w:ascii="Arial" w:hAnsi="Arial" w:cs="Arial"/>
              </w:rPr>
              <w:t>_000</w:t>
            </w:r>
          </w:p>
        </w:tc>
        <w:tc>
          <w:tcPr>
            <w:tcW w:w="1985" w:type="dxa"/>
            <w:vAlign w:val="center"/>
          </w:tcPr>
          <w:p w14:paraId="2B65145D" w14:textId="77777777" w:rsidR="008A19FF" w:rsidRDefault="008A19FF" w:rsidP="0003634F">
            <w:pPr>
              <w:spacing w:after="240" w:line="360" w:lineRule="auto"/>
              <w:jc w:val="center"/>
              <w:rPr>
                <w:rFonts w:ascii="Arial" w:hAnsi="Arial" w:cs="Arial"/>
              </w:rPr>
            </w:pPr>
            <w:r>
              <w:rPr>
                <w:rFonts w:ascii="Arial" w:hAnsi="Arial" w:cs="Arial"/>
              </w:rPr>
              <w:t>Luis Eduardo Mamani Bedregal</w:t>
            </w:r>
          </w:p>
        </w:tc>
        <w:tc>
          <w:tcPr>
            <w:tcW w:w="1275" w:type="dxa"/>
            <w:vAlign w:val="center"/>
          </w:tcPr>
          <w:p w14:paraId="5FCAFB0A" w14:textId="77777777" w:rsidR="008A19FF" w:rsidRDefault="008A19FF" w:rsidP="0003634F">
            <w:pPr>
              <w:spacing w:after="240" w:line="360" w:lineRule="auto"/>
              <w:jc w:val="center"/>
              <w:rPr>
                <w:rFonts w:ascii="Arial" w:hAnsi="Arial" w:cs="Arial"/>
              </w:rPr>
            </w:pPr>
          </w:p>
        </w:tc>
        <w:tc>
          <w:tcPr>
            <w:tcW w:w="2552" w:type="dxa"/>
            <w:vAlign w:val="center"/>
          </w:tcPr>
          <w:p w14:paraId="090DA4E0" w14:textId="57458104" w:rsidR="008A19FF" w:rsidRDefault="008A19FF" w:rsidP="0003634F">
            <w:pPr>
              <w:spacing w:after="240" w:line="360" w:lineRule="auto"/>
              <w:jc w:val="both"/>
              <w:rPr>
                <w:rFonts w:ascii="Arial" w:hAnsi="Arial" w:cs="Arial"/>
              </w:rPr>
            </w:pPr>
            <w:r>
              <w:rPr>
                <w:rFonts w:ascii="Arial" w:hAnsi="Arial" w:cs="Arial"/>
              </w:rPr>
              <w:t>Se detalla la problemática actual de</w:t>
            </w:r>
            <w:r w:rsidR="004A1311">
              <w:rPr>
                <w:rFonts w:ascii="Arial" w:hAnsi="Arial" w:cs="Arial"/>
              </w:rPr>
              <w:t xml:space="preserve">l </w:t>
            </w:r>
            <w:r w:rsidR="001C397E">
              <w:rPr>
                <w:rFonts w:ascii="Arial" w:hAnsi="Arial" w:cs="Arial"/>
              </w:rPr>
              <w:t xml:space="preserve">almacén del </w:t>
            </w:r>
            <w:r w:rsidR="004A1311">
              <w:rPr>
                <w:rFonts w:ascii="Arial" w:hAnsi="Arial" w:cs="Arial"/>
              </w:rPr>
              <w:t xml:space="preserve">área de Tesorería del Gobierno Regional de Tacna </w:t>
            </w:r>
            <w:r>
              <w:rPr>
                <w:rFonts w:ascii="Arial" w:hAnsi="Arial" w:cs="Arial"/>
              </w:rPr>
              <w:t xml:space="preserve">referente al tema de seguridad </w:t>
            </w:r>
            <w:r w:rsidR="00CE4C0B">
              <w:rPr>
                <w:rFonts w:ascii="Arial" w:hAnsi="Arial" w:cs="Arial"/>
              </w:rPr>
              <w:t>en</w:t>
            </w:r>
            <w:r>
              <w:rPr>
                <w:rFonts w:ascii="Arial" w:hAnsi="Arial" w:cs="Arial"/>
              </w:rPr>
              <w:t xml:space="preserve"> control</w:t>
            </w:r>
            <w:r w:rsidR="00CE4C0B">
              <w:rPr>
                <w:rFonts w:ascii="Arial" w:hAnsi="Arial" w:cs="Arial"/>
              </w:rPr>
              <w:t>es</w:t>
            </w:r>
            <w:r>
              <w:rPr>
                <w:rFonts w:ascii="Arial" w:hAnsi="Arial" w:cs="Arial"/>
              </w:rPr>
              <w:t xml:space="preserve"> de acceso</w:t>
            </w:r>
            <w:r w:rsidR="00CE4C0B">
              <w:rPr>
                <w:rFonts w:ascii="Arial" w:hAnsi="Arial" w:cs="Arial"/>
              </w:rPr>
              <w:t>s</w:t>
            </w:r>
            <w:r>
              <w:rPr>
                <w:rFonts w:ascii="Arial" w:hAnsi="Arial" w:cs="Arial"/>
              </w:rPr>
              <w:t>.</w:t>
            </w:r>
          </w:p>
        </w:tc>
      </w:tr>
    </w:tbl>
    <w:p w14:paraId="60BBCD70" w14:textId="77777777" w:rsidR="008A19FF" w:rsidRDefault="008A19FF" w:rsidP="008A19FF">
      <w:pPr>
        <w:spacing w:after="240" w:line="360" w:lineRule="auto"/>
        <w:rPr>
          <w:rFonts w:ascii="Arial" w:hAnsi="Arial" w:cs="Arial"/>
        </w:rPr>
      </w:pPr>
    </w:p>
    <w:tbl>
      <w:tblPr>
        <w:tblStyle w:val="Tablaconcuadrcula"/>
        <w:tblW w:w="8217" w:type="dxa"/>
        <w:tblLook w:val="04A0" w:firstRow="1" w:lastRow="0" w:firstColumn="1" w:lastColumn="0" w:noHBand="0" w:noVBand="1"/>
      </w:tblPr>
      <w:tblGrid>
        <w:gridCol w:w="6516"/>
        <w:gridCol w:w="1701"/>
      </w:tblGrid>
      <w:tr w:rsidR="008A19FF" w14:paraId="59BF3690" w14:textId="77777777" w:rsidTr="00B10F37">
        <w:trPr>
          <w:trHeight w:val="348"/>
        </w:trPr>
        <w:tc>
          <w:tcPr>
            <w:tcW w:w="6516" w:type="dxa"/>
            <w:shd w:val="clear" w:color="auto" w:fill="D9D9D9" w:themeFill="background1" w:themeFillShade="D9"/>
            <w:vAlign w:val="center"/>
          </w:tcPr>
          <w:p w14:paraId="1FC52AD0" w14:textId="77777777" w:rsidR="008A19FF" w:rsidRPr="0074155D" w:rsidRDefault="008A19FF" w:rsidP="00B10F37">
            <w:pPr>
              <w:jc w:val="center"/>
              <w:rPr>
                <w:rFonts w:ascii="Arial" w:hAnsi="Arial" w:cs="Arial"/>
                <w:b/>
                <w:bCs/>
              </w:rPr>
            </w:pPr>
            <w:r>
              <w:rPr>
                <w:rFonts w:ascii="Arial" w:hAnsi="Arial" w:cs="Arial"/>
                <w:b/>
                <w:bCs/>
              </w:rPr>
              <w:t>NOMBRE DEL PROYECTO</w:t>
            </w:r>
          </w:p>
        </w:tc>
        <w:tc>
          <w:tcPr>
            <w:tcW w:w="1701" w:type="dxa"/>
            <w:shd w:val="clear" w:color="auto" w:fill="D9D9D9" w:themeFill="background1" w:themeFillShade="D9"/>
            <w:vAlign w:val="center"/>
          </w:tcPr>
          <w:p w14:paraId="6A084155" w14:textId="77777777" w:rsidR="008A19FF" w:rsidRPr="0074155D" w:rsidRDefault="008A19FF" w:rsidP="00B10F37">
            <w:pPr>
              <w:jc w:val="center"/>
              <w:rPr>
                <w:rFonts w:ascii="Arial" w:hAnsi="Arial" w:cs="Arial"/>
                <w:b/>
                <w:bCs/>
              </w:rPr>
            </w:pPr>
            <w:r>
              <w:rPr>
                <w:rFonts w:ascii="Arial" w:hAnsi="Arial" w:cs="Arial"/>
                <w:b/>
                <w:bCs/>
              </w:rPr>
              <w:t>SIGLAS DEL PROYECTO</w:t>
            </w:r>
          </w:p>
        </w:tc>
      </w:tr>
      <w:tr w:rsidR="008A19FF" w14:paraId="354CE5E6" w14:textId="77777777" w:rsidTr="00B10F37">
        <w:trPr>
          <w:trHeight w:val="20"/>
        </w:trPr>
        <w:tc>
          <w:tcPr>
            <w:tcW w:w="6516" w:type="dxa"/>
            <w:vAlign w:val="center"/>
          </w:tcPr>
          <w:p w14:paraId="179D269B" w14:textId="6702C07F" w:rsidR="008A19FF" w:rsidRPr="000C59D2" w:rsidRDefault="004A1311" w:rsidP="0003634F">
            <w:pPr>
              <w:spacing w:after="240" w:line="360" w:lineRule="auto"/>
              <w:jc w:val="both"/>
              <w:rPr>
                <w:rFonts w:ascii="Arial" w:hAnsi="Arial" w:cs="Arial"/>
              </w:rPr>
            </w:pPr>
            <w:r>
              <w:rPr>
                <w:rFonts w:ascii="Arial" w:hAnsi="Arial" w:cs="Arial"/>
              </w:rPr>
              <w:t>Uso de Sistema de Reconocimiento de Iris basado en Deep Learning para la identificación humana en el control de acceso al área de Tesorería del Gobierno Regional de Tacna – Tacna 2020.</w:t>
            </w:r>
          </w:p>
        </w:tc>
        <w:tc>
          <w:tcPr>
            <w:tcW w:w="1701" w:type="dxa"/>
            <w:vAlign w:val="center"/>
          </w:tcPr>
          <w:p w14:paraId="02DEB831" w14:textId="77777777" w:rsidR="008A19FF" w:rsidRDefault="008A19FF" w:rsidP="0003634F">
            <w:pPr>
              <w:spacing w:after="240" w:line="360" w:lineRule="auto"/>
              <w:jc w:val="center"/>
              <w:rPr>
                <w:rFonts w:ascii="Arial" w:hAnsi="Arial" w:cs="Arial"/>
              </w:rPr>
            </w:pPr>
            <w:r>
              <w:rPr>
                <w:rFonts w:ascii="Arial" w:hAnsi="Arial" w:cs="Arial"/>
              </w:rPr>
              <w:t>SRICA</w:t>
            </w:r>
          </w:p>
        </w:tc>
      </w:tr>
    </w:tbl>
    <w:p w14:paraId="14E7AE5E" w14:textId="5126628D" w:rsidR="008A19FF" w:rsidRDefault="008A19FF" w:rsidP="0034735D">
      <w:pPr>
        <w:spacing w:after="240" w:line="360" w:lineRule="auto"/>
        <w:rPr>
          <w:rFonts w:ascii="Arial" w:hAnsi="Arial" w:cs="Arial"/>
        </w:rPr>
      </w:pPr>
    </w:p>
    <w:tbl>
      <w:tblPr>
        <w:tblStyle w:val="Tablaconcuadrcula"/>
        <w:tblW w:w="8217" w:type="dxa"/>
        <w:tblLook w:val="04A0" w:firstRow="1" w:lastRow="0" w:firstColumn="1" w:lastColumn="0" w:noHBand="0" w:noVBand="1"/>
      </w:tblPr>
      <w:tblGrid>
        <w:gridCol w:w="8217"/>
      </w:tblGrid>
      <w:tr w:rsidR="00163752" w14:paraId="761ED1AB" w14:textId="77777777" w:rsidTr="00B10F37">
        <w:tc>
          <w:tcPr>
            <w:tcW w:w="8217" w:type="dxa"/>
            <w:shd w:val="clear" w:color="auto" w:fill="D9D9D9" w:themeFill="background1" w:themeFillShade="D9"/>
            <w:vAlign w:val="center"/>
          </w:tcPr>
          <w:p w14:paraId="24373CA8" w14:textId="67B207F4" w:rsidR="00163752" w:rsidRPr="00C33202" w:rsidRDefault="00163752" w:rsidP="00B10F37">
            <w:pPr>
              <w:spacing w:line="360" w:lineRule="auto"/>
              <w:jc w:val="both"/>
              <w:rPr>
                <w:rFonts w:ascii="Arial" w:hAnsi="Arial" w:cs="Arial"/>
                <w:b/>
                <w:bCs/>
              </w:rPr>
            </w:pPr>
            <w:r>
              <w:rPr>
                <w:rFonts w:ascii="Arial" w:hAnsi="Arial" w:cs="Arial"/>
                <w:b/>
                <w:bCs/>
              </w:rPr>
              <w:t>PROBLEMA ACTUAL DE LA EMPRESA</w:t>
            </w:r>
          </w:p>
        </w:tc>
      </w:tr>
      <w:tr w:rsidR="00163752" w14:paraId="5DFB7C4A" w14:textId="77777777" w:rsidTr="00163752">
        <w:tc>
          <w:tcPr>
            <w:tcW w:w="8217" w:type="dxa"/>
            <w:shd w:val="clear" w:color="auto" w:fill="FFFFFF" w:themeFill="background1"/>
            <w:vAlign w:val="center"/>
          </w:tcPr>
          <w:p w14:paraId="63EB3288" w14:textId="77777777" w:rsidR="00FD2B38" w:rsidRPr="00FD2B38" w:rsidRDefault="00FD2B38" w:rsidP="00FD2B38">
            <w:pPr>
              <w:spacing w:after="240" w:line="360" w:lineRule="auto"/>
              <w:jc w:val="both"/>
              <w:rPr>
                <w:rFonts w:ascii="Arial" w:hAnsi="Arial" w:cs="Arial"/>
              </w:rPr>
            </w:pPr>
            <w:r w:rsidRPr="00FD2B38">
              <w:rPr>
                <w:rFonts w:ascii="Arial" w:hAnsi="Arial" w:cs="Arial"/>
              </w:rPr>
              <w:t xml:space="preserve">El Gobierno Regional de Tacna cuenta con políticas de seguridad, en la cual, para ingresar a sus instalaciones, es necesario registrarse (mediante DNI, nombre y apellido) o identificarse ante el personal que custodia la entrada, indicando el objetivo de su visita. Para el caso de los trabajadores, cada trabajador presenta su </w:t>
            </w:r>
            <w:proofErr w:type="spellStart"/>
            <w:r w:rsidRPr="00FD2B38">
              <w:rPr>
                <w:rFonts w:ascii="Arial" w:hAnsi="Arial" w:cs="Arial"/>
              </w:rPr>
              <w:t>fotocheck</w:t>
            </w:r>
            <w:proofErr w:type="spellEnd"/>
            <w:r w:rsidRPr="00FD2B38">
              <w:rPr>
                <w:rFonts w:ascii="Arial" w:hAnsi="Arial" w:cs="Arial"/>
              </w:rPr>
              <w:t xml:space="preserve"> al personal de seguridad para poder tener acceso a las respectivas instalaciones (áreas) según su lugar de trabajo. El acceso a las instalaciones internas de la institución, por parte del personal que labora en el lugar, se realiza mediante la solicitud de la llave de acceso al personal de seguridad (llave de cerrojo). Por otro lado, los visitantes tienen libre circulación solo hasta los lugares de atención al público (cada área cuenta con un lugar de atención al público).</w:t>
            </w:r>
          </w:p>
          <w:p w14:paraId="50FE8384" w14:textId="77777777" w:rsidR="00FD2B38" w:rsidRPr="00FD2B38" w:rsidRDefault="00FD2B38" w:rsidP="00FD2B38">
            <w:pPr>
              <w:spacing w:after="240" w:line="360" w:lineRule="auto"/>
              <w:jc w:val="both"/>
              <w:rPr>
                <w:rFonts w:ascii="Arial" w:hAnsi="Arial" w:cs="Arial"/>
              </w:rPr>
            </w:pPr>
            <w:r w:rsidRPr="00FD2B38">
              <w:rPr>
                <w:rFonts w:ascii="Arial" w:hAnsi="Arial" w:cs="Arial"/>
              </w:rPr>
              <w:t xml:space="preserve">Las áreas o ambientes del Gobierno Regional de Tacna solo están resguardadas por una llave física, sin implementar alguna tecnología eficaz de seguridad, como lo son los sistemas biométricos, y en vez de este método de seguridad, la entidad solo cuenta con personal de seguridad, que habitualmente resguardan solo la entrada a la institución, no a cada área o ambiente. Los trabajadores que laboran en las diferentes áreas o ambientes, son responsables del ingreso de personas </w:t>
            </w:r>
            <w:r w:rsidRPr="00FD2B38">
              <w:rPr>
                <w:rFonts w:ascii="Arial" w:hAnsi="Arial" w:cs="Arial"/>
              </w:rPr>
              <w:lastRenderedPageBreak/>
              <w:t>externas al lugar. Así mismo, los mismos trabajadores son los encargados de cerrar las puertas cuando salen a almorzar o es horario de salida. Esto es un gran problema debido al hecho de que la persona puede no cerrar correctamente la puerta de acceso, o en el peor de los casos, se extravíe la llave de acceso, siendo tomada por otra persona que no tiene alguna relación con el lugar. Una vez que el personal cierra las puertas, la llave es retornada al personal de seguridad. El personal de seguridad, con poca frecuencia, se cerciora de que las puertas se encuentren cerradas del todo, pero este proceso no es muy confiable debido a que el personal de seguridad solo realiza una revisión no exhaustiva o visual del lugar.</w:t>
            </w:r>
          </w:p>
          <w:p w14:paraId="4F083F4F" w14:textId="77777777" w:rsidR="00FD2B38" w:rsidRPr="00FD2B38" w:rsidRDefault="00FD2B38" w:rsidP="00FD2B38">
            <w:pPr>
              <w:spacing w:after="240" w:line="360" w:lineRule="auto"/>
              <w:jc w:val="both"/>
              <w:rPr>
                <w:rFonts w:ascii="Arial" w:hAnsi="Arial" w:cs="Arial"/>
              </w:rPr>
            </w:pPr>
            <w:r w:rsidRPr="00FD2B38">
              <w:rPr>
                <w:rFonts w:ascii="Arial" w:hAnsi="Arial" w:cs="Arial"/>
              </w:rPr>
              <w:t>El área de Tesorería es el área encargada de manejar el movimiento de dinero que realiza la entidad. Esta área es muy susceptible de que ocurran hechos delictivos, como pérdida de dinero, pérdida de comprobantes de pago, manipulación de información, u otro relacionado. El área de Tesorería cuenta con 15 personas, cada una de ellas con diferentes responsabilidades de trabajo. El acceso a esta área, u otra subárea de la misma, solo es de personal autorizado, pero permiten el acceso a otros trabajadores mediante autorización del jefe de área o de algún encargado.</w:t>
            </w:r>
          </w:p>
          <w:p w14:paraId="0A71AA2C" w14:textId="77777777" w:rsidR="00FD2B38" w:rsidRPr="00FD2B38" w:rsidRDefault="00FD2B38" w:rsidP="00FD2B38">
            <w:pPr>
              <w:spacing w:after="240" w:line="360" w:lineRule="auto"/>
              <w:jc w:val="both"/>
              <w:rPr>
                <w:rFonts w:ascii="Arial" w:hAnsi="Arial" w:cs="Arial"/>
              </w:rPr>
            </w:pPr>
            <w:r w:rsidRPr="00FD2B38">
              <w:rPr>
                <w:rFonts w:ascii="Arial" w:hAnsi="Arial" w:cs="Arial"/>
              </w:rPr>
              <w:t>El área de Tesorería cuenta con un ambiente en la sede Hipólito Unanue de la misma entidad, donde almacenan documentos, comprobantes de pago, u otros activos importantes, ya que sirven ante cualquier proceso interno o auditoría interna/externa. El ambiente es resguardado solo por llave, método mecánico no seguro para salvaguardar documentos tan importantes y esenciales, sin supervisión del mismo personal de seguridad, o alguna herramienta que custodie la puerta de acceso. Este método de control de acceso tradicional no permite la identificación individual del propio trabajador, ni verificación de la persona que ingresa al espacio físico, siendo este uno de los tantos problemas que aqueja al área de Tesorería, ya que, no saben con certeza si la persona a quien se le entregó la llave de acceso, es quien ingresa al almacén.</w:t>
            </w:r>
          </w:p>
          <w:p w14:paraId="4599FFC0" w14:textId="77777777" w:rsidR="00FD2B38" w:rsidRPr="00FD2B38" w:rsidRDefault="00FD2B38" w:rsidP="00FD2B38">
            <w:pPr>
              <w:spacing w:after="240" w:line="360" w:lineRule="auto"/>
              <w:jc w:val="both"/>
              <w:rPr>
                <w:rFonts w:ascii="Arial" w:hAnsi="Arial" w:cs="Arial"/>
              </w:rPr>
            </w:pPr>
            <w:r w:rsidRPr="00FD2B38">
              <w:rPr>
                <w:rFonts w:ascii="Arial" w:hAnsi="Arial" w:cs="Arial"/>
              </w:rPr>
              <w:t>El personal, al usar la llave de acceso para acceder al almacén, siente una gran preocupación debido a que necesitan mantener la llave a salvo, y transportarlo hasta el espacio físico para poder ingresar dentro de él. Durante este proceso, han acontecido situaciones donde la llave física se extravió, y el área responsable ha tenido que solicitar la copia de la llave a Seguridad, sin realizar cambio de cerradura.</w:t>
            </w:r>
          </w:p>
          <w:p w14:paraId="3FF53135" w14:textId="77777777" w:rsidR="00FD2B38" w:rsidRPr="00FD2B38" w:rsidRDefault="00FD2B38" w:rsidP="00FD2B38">
            <w:pPr>
              <w:spacing w:after="240" w:line="360" w:lineRule="auto"/>
              <w:jc w:val="both"/>
              <w:rPr>
                <w:rFonts w:ascii="Arial" w:hAnsi="Arial" w:cs="Arial"/>
              </w:rPr>
            </w:pPr>
            <w:r w:rsidRPr="00FD2B38">
              <w:rPr>
                <w:rFonts w:ascii="Arial" w:hAnsi="Arial" w:cs="Arial"/>
              </w:rPr>
              <w:lastRenderedPageBreak/>
              <w:t xml:space="preserve">El proceso de acceso al almacén del área de Tesorería, es realizado de forma manual y hablada, sin tener algún registro de los accesos que se otorgan a las personas, ni registros que se deberían contemplar cuando una persona ingresa al espacio físico. Del mismo modo, la propia entidad no manifiesta interés de implementar controles de acceso de seguridad a los diversos espacios físicos donde se almacenan activos importantes para la misma entidad, controles de accesos tales como: controles biométricos u otra forma alterna de control (tarjetas, </w:t>
            </w:r>
            <w:proofErr w:type="spellStart"/>
            <w:r w:rsidRPr="00FD2B38">
              <w:rPr>
                <w:rFonts w:ascii="Arial" w:hAnsi="Arial" w:cs="Arial"/>
              </w:rPr>
              <w:t>PINs</w:t>
            </w:r>
            <w:proofErr w:type="spellEnd"/>
            <w:r w:rsidRPr="00FD2B38">
              <w:rPr>
                <w:rFonts w:ascii="Arial" w:hAnsi="Arial" w:cs="Arial"/>
              </w:rPr>
              <w:t>, entre otros).</w:t>
            </w:r>
          </w:p>
          <w:p w14:paraId="4D87635B" w14:textId="3C6D8A88" w:rsidR="00163752" w:rsidRPr="00163752" w:rsidRDefault="00FD2B38" w:rsidP="00FD2B38">
            <w:pPr>
              <w:spacing w:after="240" w:line="360" w:lineRule="auto"/>
              <w:jc w:val="both"/>
              <w:rPr>
                <w:rFonts w:ascii="Arial" w:hAnsi="Arial" w:cs="Arial"/>
              </w:rPr>
            </w:pPr>
            <w:r w:rsidRPr="00FD2B38">
              <w:rPr>
                <w:rFonts w:ascii="Arial" w:hAnsi="Arial" w:cs="Arial"/>
              </w:rPr>
              <w:t>Debido a las características bajas de seguridad implementadas por la entidad, el almacén del área de Tesorería tiene un alto riesgo de inseguridad, riesgo que preocupa a los mismos trabajadores del área, y al mismo personal de seguridad. Riesgos tales como la manipulación de información y pérdida de documentación, son hechos ocurridos (no muy frecuentes) en el ambiente problemático. Así mismo, la pérdida de la llave de acceso, la no comprobación de la identidad de la persona que accede al almacén, y la falta de responsabilidad de registrar los accesos otorgados al personal, son hechos que atentan contra la seguridad e integridad del espacio físico en cuestión.</w:t>
            </w:r>
          </w:p>
        </w:tc>
      </w:tr>
      <w:tr w:rsidR="00E11199" w14:paraId="417DA614" w14:textId="77777777" w:rsidTr="00E11199">
        <w:tc>
          <w:tcPr>
            <w:tcW w:w="8217" w:type="dxa"/>
            <w:shd w:val="clear" w:color="auto" w:fill="D9D9D9" w:themeFill="background1" w:themeFillShade="D9"/>
            <w:vAlign w:val="center"/>
          </w:tcPr>
          <w:p w14:paraId="65F34A7E" w14:textId="45BE3D7A" w:rsidR="00E11199" w:rsidRPr="00E11199" w:rsidRDefault="00E11199" w:rsidP="00163752">
            <w:pPr>
              <w:spacing w:line="360" w:lineRule="auto"/>
              <w:jc w:val="both"/>
              <w:rPr>
                <w:rFonts w:ascii="Arial" w:hAnsi="Arial" w:cs="Arial"/>
                <w:b/>
                <w:bCs/>
              </w:rPr>
            </w:pPr>
            <w:r w:rsidRPr="00E11199">
              <w:rPr>
                <w:rFonts w:ascii="Arial" w:hAnsi="Arial" w:cs="Arial"/>
                <w:b/>
                <w:bCs/>
              </w:rPr>
              <w:lastRenderedPageBreak/>
              <w:t>ANEXOS</w:t>
            </w:r>
          </w:p>
        </w:tc>
      </w:tr>
      <w:tr w:rsidR="007A4872" w14:paraId="49E55CA4" w14:textId="77777777" w:rsidTr="00E11199">
        <w:tc>
          <w:tcPr>
            <w:tcW w:w="8217" w:type="dxa"/>
            <w:shd w:val="clear" w:color="auto" w:fill="F2F2F2" w:themeFill="background1" w:themeFillShade="F2"/>
            <w:vAlign w:val="center"/>
          </w:tcPr>
          <w:p w14:paraId="0C057EFD" w14:textId="394749B8" w:rsidR="007A4872" w:rsidRPr="007A4872" w:rsidRDefault="00E11199" w:rsidP="00163752">
            <w:pPr>
              <w:spacing w:line="360" w:lineRule="auto"/>
              <w:jc w:val="both"/>
              <w:rPr>
                <w:rFonts w:ascii="Arial" w:hAnsi="Arial" w:cs="Arial"/>
                <w:b/>
                <w:bCs/>
              </w:rPr>
            </w:pPr>
            <w:r>
              <w:rPr>
                <w:rFonts w:ascii="Arial" w:hAnsi="Arial" w:cs="Arial"/>
                <w:b/>
                <w:bCs/>
              </w:rPr>
              <w:t>Árbol de Problemas</w:t>
            </w:r>
          </w:p>
        </w:tc>
      </w:tr>
    </w:tbl>
    <w:p w14:paraId="489F8F11" w14:textId="360D8DF1" w:rsidR="0034735D" w:rsidRDefault="0034735D" w:rsidP="0034735D">
      <w:pPr>
        <w:spacing w:after="240" w:line="360" w:lineRule="auto"/>
        <w:rPr>
          <w:rFonts w:ascii="Arial" w:hAnsi="Arial" w:cs="Arial"/>
        </w:rPr>
      </w:pPr>
    </w:p>
    <w:p w14:paraId="410B37C5" w14:textId="66676139" w:rsidR="00AD6337" w:rsidRDefault="00AD6337" w:rsidP="0034735D">
      <w:pPr>
        <w:spacing w:after="240" w:line="360" w:lineRule="auto"/>
        <w:rPr>
          <w:rFonts w:ascii="Arial" w:hAnsi="Arial" w:cs="Arial"/>
        </w:rPr>
      </w:pPr>
    </w:p>
    <w:p w14:paraId="2709ADB0" w14:textId="3958F495" w:rsidR="00AD6337" w:rsidRDefault="00AD6337" w:rsidP="0034735D">
      <w:pPr>
        <w:spacing w:after="240" w:line="360" w:lineRule="auto"/>
        <w:rPr>
          <w:rFonts w:ascii="Arial" w:hAnsi="Arial" w:cs="Arial"/>
        </w:rPr>
      </w:pPr>
    </w:p>
    <w:p w14:paraId="24ABC216" w14:textId="6C41842E" w:rsidR="00AD6337" w:rsidRDefault="00AD6337" w:rsidP="0034735D">
      <w:pPr>
        <w:spacing w:after="240" w:line="360" w:lineRule="auto"/>
        <w:rPr>
          <w:rFonts w:ascii="Arial" w:hAnsi="Arial" w:cs="Arial"/>
        </w:rPr>
      </w:pPr>
    </w:p>
    <w:p w14:paraId="19F3072A" w14:textId="77777777" w:rsidR="00AD6337" w:rsidRDefault="00AD6337" w:rsidP="0034735D">
      <w:pPr>
        <w:spacing w:after="240" w:line="360" w:lineRule="auto"/>
        <w:rPr>
          <w:rFonts w:ascii="Arial" w:hAnsi="Arial" w:cs="Arial"/>
        </w:rPr>
        <w:sectPr w:rsidR="00AD6337" w:rsidSect="006D5EB9">
          <w:pgSz w:w="11906" w:h="16838"/>
          <w:pgMar w:top="1418" w:right="1418" w:bottom="1418" w:left="2268" w:header="709" w:footer="709" w:gutter="0"/>
          <w:cols w:space="708"/>
          <w:docGrid w:linePitch="360"/>
        </w:sectPr>
      </w:pPr>
    </w:p>
    <w:p w14:paraId="272938ED" w14:textId="2D37A04D" w:rsidR="00AD6337" w:rsidRPr="005A49D5" w:rsidRDefault="008F6BEC" w:rsidP="0034735D">
      <w:pPr>
        <w:spacing w:after="240" w:line="360" w:lineRule="auto"/>
        <w:rPr>
          <w:rFonts w:ascii="Arial" w:hAnsi="Arial" w:cs="Arial"/>
        </w:rPr>
      </w:pPr>
      <w:r>
        <w:object w:dxaOrig="16426" w:dyaOrig="9240" w14:anchorId="798BC1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99.5pt;height:393.5pt" o:ole="">
            <v:imagedata r:id="rId5" o:title=""/>
          </v:shape>
          <o:OLEObject Type="Embed" ProgID="Visio.Drawing.15" ShapeID="_x0000_i1027" DrawAspect="Content" ObjectID="_1720642713" r:id="rId6"/>
        </w:object>
      </w:r>
    </w:p>
    <w:sectPr w:rsidR="00AD6337" w:rsidRPr="005A49D5" w:rsidSect="00AD6337">
      <w:pgSz w:w="16838" w:h="11906" w:orient="landscape"/>
      <w:pgMar w:top="226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5562D"/>
    <w:multiLevelType w:val="hybridMultilevel"/>
    <w:tmpl w:val="70F4D13C"/>
    <w:lvl w:ilvl="0" w:tplc="0840E7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E7"/>
    <w:rsid w:val="0003634F"/>
    <w:rsid w:val="000E5660"/>
    <w:rsid w:val="00161F55"/>
    <w:rsid w:val="00163752"/>
    <w:rsid w:val="001C397E"/>
    <w:rsid w:val="001E44FF"/>
    <w:rsid w:val="0034735D"/>
    <w:rsid w:val="004A1311"/>
    <w:rsid w:val="005A49D5"/>
    <w:rsid w:val="005D35E7"/>
    <w:rsid w:val="006A2E4A"/>
    <w:rsid w:val="006D5EB9"/>
    <w:rsid w:val="00792208"/>
    <w:rsid w:val="007A4872"/>
    <w:rsid w:val="007B0E5E"/>
    <w:rsid w:val="00853CE6"/>
    <w:rsid w:val="008A19FF"/>
    <w:rsid w:val="008A674C"/>
    <w:rsid w:val="008F6BEC"/>
    <w:rsid w:val="00952C4B"/>
    <w:rsid w:val="00AB0E23"/>
    <w:rsid w:val="00AD6337"/>
    <w:rsid w:val="00C45551"/>
    <w:rsid w:val="00CC4F0A"/>
    <w:rsid w:val="00CE4C0B"/>
    <w:rsid w:val="00E11199"/>
    <w:rsid w:val="00F53508"/>
    <w:rsid w:val="00FD2B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7AEE"/>
  <w15:chartTrackingRefBased/>
  <w15:docId w15:val="{806D16F4-433C-4043-BF1C-B117127B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9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1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63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910</Words>
  <Characters>5007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Mamani Bedregal</dc:creator>
  <cp:keywords/>
  <dc:description/>
  <cp:lastModifiedBy>Eduardo Mamani Bedregal</cp:lastModifiedBy>
  <cp:revision>26</cp:revision>
  <dcterms:created xsi:type="dcterms:W3CDTF">2020-04-08T00:57:00Z</dcterms:created>
  <dcterms:modified xsi:type="dcterms:W3CDTF">2022-07-30T04:25:00Z</dcterms:modified>
</cp:coreProperties>
</file>