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154B2D" w14:paraId="7DF6F93C" w14:textId="77777777" w:rsidTr="3F51EF3A">
        <w:tc>
          <w:tcPr>
            <w:tcW w:w="9923" w:type="dxa"/>
          </w:tcPr>
          <w:p w14:paraId="705F774D" w14:textId="77777777" w:rsidR="00967950" w:rsidRPr="00154B2D" w:rsidRDefault="00971E48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Ficha</w:t>
            </w:r>
            <w:r w:rsidR="00154B2D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de Lectura:</w:t>
            </w:r>
          </w:p>
          <w:p w14:paraId="010FCB15" w14:textId="77777777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"El aporte de la Política Pública y de la Nueva Gestión Pública a la gobernanza"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18BDF01" w14:textId="0F02FF7B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Luis F. Aguilar</w:t>
            </w:r>
          </w:p>
        </w:tc>
      </w:tr>
      <w:tr w:rsidR="00967950" w:rsidRPr="00154B2D" w14:paraId="6D1A74D2" w14:textId="77777777" w:rsidTr="3F51EF3A">
        <w:tc>
          <w:tcPr>
            <w:tcW w:w="9923" w:type="dxa"/>
          </w:tcPr>
          <w:p w14:paraId="707C56CA" w14:textId="39A3E902" w:rsidR="00967950" w:rsidRPr="00154B2D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 Componente Temático</w:t>
            </w:r>
            <w:r w:rsidR="00154B2D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154B2D" w:rsidRPr="00154B2D">
              <w:t xml:space="preserve"> E</w:t>
            </w:r>
            <w:r w:rsidR="00154B2D" w:rsidRPr="00154B2D">
              <w:rPr>
                <w:rFonts w:ascii="Times New Roman" w:hAnsi="Times New Roman"/>
                <w:bCs/>
                <w:sz w:val="24"/>
                <w:szCs w:val="24"/>
              </w:rPr>
              <w:t>xploración de la relación entre la Política Pública, la Nueva Gestión Pública y la gobernanza</w:t>
            </w:r>
            <w:r w:rsidR="009D6B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70991" w:rsidRPr="00154B2D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967950" w:rsidRPr="00154B2D" w14:paraId="360ED4C1" w14:textId="77777777" w:rsidTr="3F51EF3A">
        <w:tc>
          <w:tcPr>
            <w:tcW w:w="9923" w:type="dxa"/>
          </w:tcPr>
          <w:p w14:paraId="2DBFE707" w14:textId="7FBFBA46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1.1 Referencia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Bibliográfica</w:t>
            </w:r>
          </w:p>
        </w:tc>
      </w:tr>
      <w:tr w:rsidR="00967950" w:rsidRPr="00154B2D" w14:paraId="0C1614CF" w14:textId="77777777" w:rsidTr="3F51EF3A">
        <w:trPr>
          <w:trHeight w:val="927"/>
        </w:trPr>
        <w:tc>
          <w:tcPr>
            <w:tcW w:w="9923" w:type="dxa"/>
          </w:tcPr>
          <w:p w14:paraId="3C1BA858" w14:textId="545DF842" w:rsidR="00967950" w:rsidRPr="00154B2D" w:rsidRDefault="0012252F" w:rsidP="3F51EF3A">
            <w:pPr>
              <w:pStyle w:val="Sinespaciado1"/>
              <w:rPr>
                <w:rFonts w:ascii="Times New Roman" w:hAnsi="Times New Roman"/>
              </w:rPr>
            </w:pPr>
            <w:r w:rsidRPr="0012252F">
              <w:rPr>
                <w:rFonts w:ascii="Times New Roman" w:hAnsi="Times New Roman"/>
              </w:rPr>
              <w:t>Aguilar, L. F. (20</w:t>
            </w:r>
            <w:r>
              <w:rPr>
                <w:rFonts w:ascii="Times New Roman" w:hAnsi="Times New Roman"/>
              </w:rPr>
              <w:t>07</w:t>
            </w:r>
            <w:r w:rsidRPr="0012252F">
              <w:rPr>
                <w:rFonts w:ascii="Times New Roman" w:hAnsi="Times New Roman"/>
              </w:rPr>
              <w:t xml:space="preserve">). El aporte de la política pública y de la nueva gestión pública a la gobernanza. </w:t>
            </w:r>
            <w:r w:rsidRPr="0012252F">
              <w:rPr>
                <w:rFonts w:ascii="Times New Roman" w:hAnsi="Times New Roman"/>
              </w:rPr>
              <w:t xml:space="preserve">Revista </w:t>
            </w:r>
            <w:r>
              <w:t>del</w:t>
            </w:r>
            <w:r w:rsidRPr="0012252F">
              <w:rPr>
                <w:rFonts w:ascii="Times New Roman" w:hAnsi="Times New Roman"/>
              </w:rPr>
              <w:t xml:space="preserve"> CLAD Reforma y Democracia, (</w:t>
            </w:r>
            <w:r>
              <w:rPr>
                <w:rFonts w:ascii="Times New Roman" w:hAnsi="Times New Roman"/>
              </w:rPr>
              <w:t>39</w:t>
            </w:r>
            <w:r w:rsidRPr="0012252F">
              <w:rPr>
                <w:rFonts w:ascii="Times New Roman" w:hAnsi="Times New Roman"/>
              </w:rPr>
              <w:t>), 5-</w:t>
            </w:r>
            <w:r>
              <w:rPr>
                <w:rFonts w:ascii="Times New Roman" w:hAnsi="Times New Roman"/>
              </w:rPr>
              <w:t>3</w:t>
            </w:r>
            <w:r w:rsidRPr="0012252F">
              <w:rPr>
                <w:rFonts w:ascii="Times New Roman" w:hAnsi="Times New Roman"/>
              </w:rPr>
              <w:t>2.</w:t>
            </w:r>
          </w:p>
        </w:tc>
      </w:tr>
      <w:tr w:rsidR="00967950" w:rsidRPr="00154B2D" w14:paraId="5A2C41DB" w14:textId="77777777" w:rsidTr="3F51EF3A">
        <w:trPr>
          <w:trHeight w:val="675"/>
        </w:trPr>
        <w:tc>
          <w:tcPr>
            <w:tcW w:w="9923" w:type="dxa"/>
          </w:tcPr>
          <w:p w14:paraId="7551B226" w14:textId="7E0F62A0" w:rsidR="00967950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1.2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Quién produce el texto? (texto académico, de ONG, de organismo internacional,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), autor, organización, entidad</w:t>
            </w:r>
            <w:r w:rsidR="008A1B91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8A1B91" w:rsidRPr="008A1B91">
              <w:rPr>
                <w:rFonts w:ascii="Times New Roman" w:hAnsi="Times New Roman"/>
                <w:bCs/>
                <w:sz w:val="24"/>
                <w:szCs w:val="24"/>
              </w:rPr>
              <w:t>Autor: Luis F. Aguilar</w:t>
            </w:r>
          </w:p>
        </w:tc>
      </w:tr>
      <w:tr w:rsidR="00EB0ACF" w:rsidRPr="00154B2D" w14:paraId="6C71C6D0" w14:textId="77777777" w:rsidTr="3F51EF3A">
        <w:tc>
          <w:tcPr>
            <w:tcW w:w="9923" w:type="dxa"/>
          </w:tcPr>
          <w:p w14:paraId="79ED960E" w14:textId="77777777" w:rsidR="000C3DF0" w:rsidRDefault="009D6BC5" w:rsidP="3F51EF3A">
            <w:pPr>
              <w:rPr>
                <w:rFonts w:ascii="Times New Roman" w:hAnsi="Times New Roman"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1.3 Tesis</w:t>
            </w:r>
            <w:r w:rsidR="00971E48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centrales</w:t>
            </w:r>
            <w:r w:rsidR="00967950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 </w:t>
            </w: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argumentación?</w:t>
            </w:r>
            <w:r w:rsidR="2C840681" w:rsidRPr="00154B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A5A68A" w14:textId="3ECFB254" w:rsidR="00A71EC8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pública (NGP) han sido propuestas disciplinarias y </w:t>
            </w:r>
            <w:r w:rsidRPr="00A71EC8">
              <w:rPr>
                <w:rFonts w:ascii="Times New Roman" w:hAnsi="Times New Roman"/>
                <w:i/>
                <w:sz w:val="24"/>
                <w:szCs w:val="24"/>
              </w:rPr>
              <w:t>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que </w:t>
            </w:r>
            <w:proofErr w:type="gramStart"/>
            <w:r w:rsidRPr="00A71EC8">
              <w:rPr>
                <w:rFonts w:ascii="Times New Roman" w:hAnsi="Times New Roman"/>
                <w:sz w:val="24"/>
                <w:szCs w:val="24"/>
              </w:rPr>
              <w:t>han sido procesadas</w:t>
            </w:r>
            <w:proofErr w:type="gramEnd"/>
            <w:r w:rsidRPr="00A71EC8">
              <w:rPr>
                <w:rFonts w:ascii="Times New Roman" w:hAnsi="Times New Roman"/>
                <w:sz w:val="24"/>
                <w:szCs w:val="24"/>
              </w:rPr>
              <w:t xml:space="preserve">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contribuido a difundir una nueva relación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directiva </w:t>
            </w:r>
            <w:r>
              <w:rPr>
                <w:rFonts w:ascii="Times New Roman" w:hAnsi="Times New Roman"/>
                <w:sz w:val="24"/>
                <w:szCs w:val="24"/>
              </w:rPr>
              <w:t>entre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y sociedad, llamada Gobernanza o Nueva Gobernanza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A932EB3" w14:textId="40F90813" w:rsidR="006611F5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a gobernanza incluye a la gobernabilidad,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en tanto requiere la acción de un gobierno capaz y eficaz, pues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sin esta condición cumplida no existiría una condición esencial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para que pueda haber dirección de </w:t>
            </w:r>
            <w:r w:rsidR="006611F5" w:rsidRPr="00A71EC8">
              <w:rPr>
                <w:rFonts w:ascii="Times New Roman" w:hAnsi="Times New Roman"/>
                <w:i/>
                <w:sz w:val="24"/>
                <w:szCs w:val="24"/>
              </w:rPr>
              <w:t>la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 sociedad antes y ahora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611F5"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 w:rsidR="006611F5">
              <w:rPr>
                <w:rFonts w:ascii="Times New Roman" w:hAnsi="Times New Roman"/>
                <w:sz w:val="24"/>
                <w:szCs w:val="24"/>
              </w:rPr>
              <w:t>7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, p. 1</w:t>
            </w:r>
            <w:r w:rsidR="006611F5">
              <w:rPr>
                <w:rFonts w:ascii="Times New Roman" w:hAnsi="Times New Roman"/>
                <w:sz w:val="24"/>
                <w:szCs w:val="24"/>
              </w:rPr>
              <w:t>8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CB7864A" w14:textId="35610612" w:rsidR="00A71EC8" w:rsidRPr="00F56A60" w:rsidRDefault="00F56A60" w:rsidP="00F56A60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sz w:val="24"/>
                <w:szCs w:val="24"/>
              </w:rPr>
              <w:t>los conceptos, métodos o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tecnologías de la PP y de la NGP </w:t>
            </w:r>
            <w:proofErr w:type="gramStart"/>
            <w:r w:rsidRPr="00F56A60">
              <w:rPr>
                <w:rFonts w:ascii="Times New Roman" w:hAnsi="Times New Roman"/>
                <w:sz w:val="24"/>
                <w:szCs w:val="24"/>
              </w:rPr>
              <w:t>han sido entendidos</w:t>
            </w:r>
            <w:proofErr w:type="gramEnd"/>
            <w:r w:rsidRPr="00F56A60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practicados a partir del enfoque de la gobernabilidad o de la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gobernanza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. Muchos gobiernos de nuestros países han empleado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sus métodos y tecnologías con el propósito de restablecer su capacidad directiva debilitada y la gobernabilidad, o bien lo han hecho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con el propósito o el resultado de dar forma a un nuevo proceso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de gobierno más eficaz y acaso socialmente más aceptado, en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tanto se practica con la participación de la sociedad: a una nueva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sz w:val="24"/>
                <w:szCs w:val="24"/>
              </w:rPr>
              <w:t>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CCBAB27" w14:textId="7F6B4712" w:rsidR="006611F5" w:rsidRPr="00154B2D" w:rsidRDefault="006611F5" w:rsidP="006611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B0ACF" w:rsidRPr="00154B2D" w14:paraId="1CB228EE" w14:textId="77777777" w:rsidTr="3F51EF3A">
        <w:tc>
          <w:tcPr>
            <w:tcW w:w="9923" w:type="dxa"/>
          </w:tcPr>
          <w:p w14:paraId="7BD104CD" w14:textId="6E1AF0B8" w:rsidR="00EB0ACF" w:rsidRPr="00154B2D" w:rsidRDefault="009D6BC5" w:rsidP="000A4AA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1.4 Referencias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teóricas y conceptuales del texto</w:t>
            </w:r>
          </w:p>
        </w:tc>
      </w:tr>
      <w:tr w:rsidR="00EB0ACF" w:rsidRPr="00154B2D" w14:paraId="150A8B0C" w14:textId="77777777" w:rsidTr="3F51EF3A">
        <w:trPr>
          <w:trHeight w:val="345"/>
        </w:trPr>
        <w:tc>
          <w:tcPr>
            <w:tcW w:w="9923" w:type="dxa"/>
          </w:tcPr>
          <w:p w14:paraId="110886A2" w14:textId="74196C02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Achard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D. y Flores, M. (1997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), Gobernabilidad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: un reportaje de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América Latina, México, Fondo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 Cultura Económica, PNUD.</w:t>
            </w:r>
          </w:p>
          <w:p w14:paraId="5FAA80D5" w14:textId="198B3EE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Aguilar Villanueva, Luis F. (2006),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Gobernanza y gestión pública,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40F219A8" w14:textId="77227D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BID (2005),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Politics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Policies:Economic</w:t>
            </w:r>
            <w:proofErr w:type="spellEnd"/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 Social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Progress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in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Latin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America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Washington, BID.</w:t>
            </w:r>
          </w:p>
          <w:p w14:paraId="16D04ACD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(1995), Gobernabilidad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Instituto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Federal Electoral.</w:t>
            </w:r>
          </w:p>
          <w:p w14:paraId="464E4F70" w14:textId="55E4E855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Crozier, M.; Huntington, S.;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Watanuki, J. (1975),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Crisis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Democracy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New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York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55451EE1" w14:textId="389D558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Dagnino, E.; Olvera, A. J.;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Panfichi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(2006),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disputa por la construcción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democrática en América Latina,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706BE28B" w14:textId="131881F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De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Riz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Liliana (2001), "La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construcción de un orden político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democrático: el caso argentino",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en Globalización, identidad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democracia, J. Labastida y </w:t>
            </w:r>
            <w:proofErr w:type="spellStart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A.Camou</w:t>
            </w:r>
            <w:proofErr w:type="spellEnd"/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México, Siglo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XXI.</w:t>
            </w:r>
          </w:p>
          <w:p w14:paraId="7944F548" w14:textId="0410E2D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Flisfish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(1989), "Gobernabilidad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consolidación democrática: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sugerencias para la discusión",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Revista Mexicana de Sociología,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Año 11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México.</w:t>
            </w:r>
          </w:p>
          <w:p w14:paraId="29255962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, J. (2003),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 Sage.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401E0FC" w14:textId="157AABE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(ed.) (1993), Modern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: 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-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Interactions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Sage.</w:t>
            </w:r>
          </w:p>
          <w:p w14:paraId="77E4B40F" w14:textId="503F095F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Labastida, Julio (2001), "Legitimidad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cambio del régimen político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México", en Globalización,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identidad y democracia, J.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 y A.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Siglo XXI.</w:t>
            </w:r>
          </w:p>
          <w:p w14:paraId="531FBADB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Labastida, J. y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.)(</w:t>
            </w:r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2001), Globalización, identidad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Siglo XXI.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274D9CD9" w14:textId="1B759FC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Malloy, J. (1993), "Política 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económica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 o problema da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governabilidade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democrática nos Andes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Centrais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”, en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Estado, mercado e democracia: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política 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economia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comparadas,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L. Sola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São Paulo,</w:t>
            </w:r>
          </w:p>
          <w:p w14:paraId="05214799" w14:textId="27049387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Paz e Terra.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Pardo, M. C.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(2004), De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administración pública a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gobernanza, México, El Colegio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 México.</w:t>
            </w:r>
          </w:p>
          <w:p w14:paraId="4882766D" w14:textId="4D1DFA84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(ed.)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0024DD7E" w14:textId="7E910B96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y Peters, B. G.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MacMillan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PNUD (1997),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Reconceptualising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PNUD.</w:t>
            </w:r>
          </w:p>
          <w:p w14:paraId="633ADDB0" w14:textId="404BAE8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Prats, J. (2004), "De la burocracia al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y del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 gobernanza", en Instituciones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Desarrollo,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Barcelona.</w:t>
            </w:r>
          </w:p>
          <w:p w14:paraId="1DFF6879" w14:textId="31C439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Rhodes, R. W. A. (1997),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Understanding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Buckingham, Open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"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Public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Administration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", en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Pierre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(ed.),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7E314DD4" w14:textId="77777777" w:rsidR="00EB0ACF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Weber, Max (1964), Economía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sociedad, México, Fondo de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Cultura Económica</w:t>
            </w:r>
          </w:p>
          <w:p w14:paraId="79D9010F" w14:textId="1DDB3948" w:rsidR="00B64C0A" w:rsidRPr="00154B2D" w:rsidRDefault="00B64C0A" w:rsidP="00B64C0A">
            <w:p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B0ACF" w:rsidRPr="00154B2D" w14:paraId="53DAA041" w14:textId="77777777" w:rsidTr="3F51EF3A">
        <w:tc>
          <w:tcPr>
            <w:tcW w:w="9923" w:type="dxa"/>
          </w:tcPr>
          <w:p w14:paraId="0DDC349A" w14:textId="0EA3F24C" w:rsidR="00EB0ACF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2. Componente Metodológico</w:t>
            </w:r>
          </w:p>
        </w:tc>
      </w:tr>
      <w:tr w:rsidR="00967950" w:rsidRPr="00154B2D" w14:paraId="4480EC14" w14:textId="77777777" w:rsidTr="3F51EF3A">
        <w:tc>
          <w:tcPr>
            <w:tcW w:w="9923" w:type="dxa"/>
          </w:tcPr>
          <w:p w14:paraId="1EFBFF61" w14:textId="7764DCCC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2.1 Estructura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del texto (introducción, sección teórica, sección de contexto</w:t>
            </w:r>
          </w:p>
        </w:tc>
      </w:tr>
      <w:tr w:rsidR="00EB0ACF" w:rsidRPr="00154B2D" w14:paraId="3DF8467F" w14:textId="77777777" w:rsidTr="3F51EF3A">
        <w:tc>
          <w:tcPr>
            <w:tcW w:w="9923" w:type="dxa"/>
          </w:tcPr>
          <w:p w14:paraId="3DDD0802" w14:textId="77777777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Introducción</w:t>
            </w:r>
          </w:p>
          <w:p w14:paraId="63890A38" w14:textId="42C29C02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Gobierno y proceso de gobierno</w:t>
            </w:r>
          </w:p>
          <w:p w14:paraId="1B59E9DA" w14:textId="05B25B5F" w:rsid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Gobernabilidad y Gobernanza</w:t>
            </w:r>
          </w:p>
          <w:p w14:paraId="26681222" w14:textId="47BB44B7" w:rsidR="00F56A60" w:rsidRPr="00F56A60" w:rsidRDefault="00F56A60" w:rsidP="0039381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El concepto de gobernanza: memorando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conceptua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  <w:p w14:paraId="160C748C" w14:textId="4AC51C89" w:rsidR="00F56A60" w:rsidRPr="00F56A60" w:rsidRDefault="00F56A60" w:rsidP="00F701C6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Política Pública y Nueva Gestión Pública en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relación con los enfoques de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Gobernabilidad y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Gobernanza</w:t>
            </w:r>
          </w:p>
          <w:p w14:paraId="6974A0AB" w14:textId="473FFDD0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Notas</w:t>
            </w:r>
          </w:p>
          <w:p w14:paraId="6454CC4F" w14:textId="5DBCBE72" w:rsidR="001566D0" w:rsidRPr="00154B2D" w:rsidRDefault="00F56A60" w:rsidP="007934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introducción, el autor presenta el objetivo y el marco teórico del texto. 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 xml:space="preserve">En la segunda sección, se analizan los pasos que ha dado el Gobierno encaminándose hacia la gobernanza. 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tercera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explica el concepto de política pública y de la nueva gestión pública.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cuarta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define el término gobernanza y su evolución en el tiempo.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quinta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presenta el aporte de la política pública y de la nueva gestión pública a la gobernanza, a través de cuatro tesis. Finalmente, en la sección de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Notas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>, el autor resume los principales puntos del texto y hac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>iendo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una reflexión.</w:t>
            </w:r>
          </w:p>
          <w:p w14:paraId="6FAC3EF6" w14:textId="256D9F8B" w:rsidR="001566D0" w:rsidRPr="00154B2D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782" w:rsidRPr="00154B2D" w14:paraId="6095E6CC" w14:textId="77777777" w:rsidTr="3F51EF3A">
        <w:tc>
          <w:tcPr>
            <w:tcW w:w="9923" w:type="dxa"/>
          </w:tcPr>
          <w:p w14:paraId="78B55BF6" w14:textId="1F1B2E1A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2.2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Datos: Fuente de los datos: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quién los produce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300782" w:rsidRPr="00154B2D" w14:paraId="0AF8FBAC" w14:textId="77777777" w:rsidTr="3F51EF3A">
        <w:trPr>
          <w:trHeight w:val="1017"/>
        </w:trPr>
        <w:tc>
          <w:tcPr>
            <w:tcW w:w="9923" w:type="dxa"/>
          </w:tcPr>
          <w:p w14:paraId="71C418D1" w14:textId="1E525572" w:rsidR="00300782" w:rsidRPr="00154B2D" w:rsidRDefault="00300782" w:rsidP="000A4A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782" w:rsidRPr="00154B2D" w14:paraId="6066C8A0" w14:textId="77777777" w:rsidTr="3F51EF3A">
        <w:tc>
          <w:tcPr>
            <w:tcW w:w="9923" w:type="dxa"/>
          </w:tcPr>
          <w:p w14:paraId="0CDB9EC6" w14:textId="348326B3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2.3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Herramientas metodológicas (entrevistas, estadísticas, revisión de prensa, revisión normativa, cualitativo, cuantitativo,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0782" w:rsidRPr="00154B2D" w14:paraId="3CAF1CD4" w14:textId="77777777" w:rsidTr="3F51EF3A">
        <w:trPr>
          <w:trHeight w:val="1622"/>
        </w:trPr>
        <w:tc>
          <w:tcPr>
            <w:tcW w:w="9923" w:type="dxa"/>
          </w:tcPr>
          <w:p w14:paraId="0EC55912" w14:textId="77777777" w:rsidR="006F071D" w:rsidRDefault="001D74AF" w:rsidP="001D74AF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Su mérito fue estudiar el proceso decisorio de las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políticas, que no era objeto de conocimiento ni de la ciencia política ni de la AP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analizarlo metódicamente para mejora de las decisiones, así como identificar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ordenar los componentes que integran el proceso de políticas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1CC84724" w14:textId="12D7E341" w:rsid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Estudio</w:t>
            </w:r>
          </w:p>
          <w:p w14:paraId="622B92E4" w14:textId="2F963E13" w:rsidR="001D74AF" w:rsidRP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Análisis metódico</w:t>
            </w:r>
          </w:p>
        </w:tc>
      </w:tr>
      <w:tr w:rsidR="00300782" w:rsidRPr="00154B2D" w14:paraId="6BAC7D78" w14:textId="77777777" w:rsidTr="3F51EF3A">
        <w:tc>
          <w:tcPr>
            <w:tcW w:w="9923" w:type="dxa"/>
          </w:tcPr>
          <w:p w14:paraId="24F1CF5A" w14:textId="77777777" w:rsidR="00300782" w:rsidRPr="00154B2D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Conclusiones</w:t>
            </w:r>
          </w:p>
        </w:tc>
      </w:tr>
      <w:tr w:rsidR="00300782" w:rsidRPr="00154B2D" w14:paraId="31C5161F" w14:textId="77777777" w:rsidTr="3F51EF3A">
        <w:trPr>
          <w:trHeight w:val="965"/>
        </w:trPr>
        <w:tc>
          <w:tcPr>
            <w:tcW w:w="9923" w:type="dxa"/>
          </w:tcPr>
          <w:p w14:paraId="1FE8ADF1" w14:textId="4C9B8EEC" w:rsidR="0075455E" w:rsidRPr="0075455E" w:rsidRDefault="001D74AF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la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pública (NGP) han sido propuestas disciplinarias y 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 xml:space="preserve">que </w:t>
            </w:r>
            <w:proofErr w:type="gramStart"/>
            <w:r w:rsidRPr="001D74AF">
              <w:rPr>
                <w:rFonts w:ascii="Times New Roman" w:hAnsi="Times New Roman"/>
                <w:sz w:val="24"/>
                <w:szCs w:val="24"/>
              </w:rPr>
              <w:t>han sido procesadas</w:t>
            </w:r>
            <w:proofErr w:type="gramEnd"/>
            <w:r w:rsidRPr="001D74AF">
              <w:rPr>
                <w:rFonts w:ascii="Times New Roman" w:hAnsi="Times New Roman"/>
                <w:sz w:val="24"/>
                <w:szCs w:val="24"/>
              </w:rPr>
              <w:t xml:space="preserve">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contribuido a difundir una nueva relación directiva entre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y sociedad, llamada Gobernanza o Nueva 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 w:rsidR="0075455E"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07A7CB7B" w14:textId="313334B0" w:rsid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 xml:space="preserve">la gobernanza (o gobernanza nueva,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moderna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) es un concepto que describe y explica la descentralización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que caracteriza al actual proceso de dirección de la sociedad, su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multipolaridad, su carácter de sistema (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governance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>, PNUD)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y que ha dado pie al concepto o metáfora de "gobernanza por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redes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" o "gobernanza participativa" (UNCEPA / UNDESA), que en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razón de la sinergia de los recursos públicos, privados y sociales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incrementa la claridad, capacidad y eficacia directiva de una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sociedad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4791503" w14:textId="5873C194" w:rsidR="0075455E" w:rsidRP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>La nueva gobernanza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es el resultado de lo que los gobiernos emprendieron para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reconstruir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su capacidad directiva y lo que numerosos grupos ciudadanos,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con el ímpetu de la democracia, emprendieron para tener voz y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participar en la deliberación de los asuntos de la realidad pública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455E">
              <w:rPr>
                <w:rFonts w:ascii="Times New Roman" w:hAnsi="Times New Roman"/>
                <w:sz w:val="24"/>
                <w:szCs w:val="24"/>
              </w:rPr>
              <w:t>y tener control sobre su conducción.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3565343" w14:textId="45804168" w:rsidR="006E40FA" w:rsidRPr="00154B2D" w:rsidRDefault="006E40FA" w:rsidP="001D74A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D9A8D3" w14:textId="2837BF31" w:rsidR="00F71FDD" w:rsidRPr="00154B2D" w:rsidRDefault="00F71FDD" w:rsidP="00967950">
      <w:pPr>
        <w:jc w:val="center"/>
        <w:rPr>
          <w:rFonts w:ascii="Arial" w:hAnsi="Arial" w:cs="Arial"/>
          <w:b/>
          <w:sz w:val="32"/>
          <w:szCs w:val="32"/>
        </w:rPr>
      </w:pPr>
    </w:p>
    <w:sectPr w:rsidR="00F71FDD" w:rsidRPr="00154B2D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4C65" w14:textId="77777777" w:rsidR="00ED1A72" w:rsidRDefault="00ED1A72" w:rsidP="000E1B6E">
      <w:pPr>
        <w:spacing w:after="0" w:line="240" w:lineRule="auto"/>
      </w:pPr>
      <w:r>
        <w:separator/>
      </w:r>
    </w:p>
  </w:endnote>
  <w:endnote w:type="continuationSeparator" w:id="0">
    <w:p w14:paraId="73E85EA9" w14:textId="77777777" w:rsidR="00ED1A72" w:rsidRDefault="00ED1A72" w:rsidP="000E1B6E">
      <w:pPr>
        <w:spacing w:after="0" w:line="240" w:lineRule="auto"/>
      </w:pPr>
      <w:r>
        <w:continuationSeparator/>
      </w:r>
    </w:p>
  </w:endnote>
  <w:endnote w:type="continuationNotice" w:id="1">
    <w:p w14:paraId="575C89CC" w14:textId="77777777" w:rsidR="00ED1A72" w:rsidRDefault="00ED1A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2AA5" w14:textId="77777777" w:rsidR="00ED1A72" w:rsidRDefault="00ED1A72" w:rsidP="000E1B6E">
      <w:pPr>
        <w:spacing w:after="0" w:line="240" w:lineRule="auto"/>
      </w:pPr>
      <w:r>
        <w:separator/>
      </w:r>
    </w:p>
  </w:footnote>
  <w:footnote w:type="continuationSeparator" w:id="0">
    <w:p w14:paraId="75DBC089" w14:textId="77777777" w:rsidR="00ED1A72" w:rsidRDefault="00ED1A72" w:rsidP="000E1B6E">
      <w:pPr>
        <w:spacing w:after="0" w:line="240" w:lineRule="auto"/>
      </w:pPr>
      <w:r>
        <w:continuationSeparator/>
      </w:r>
    </w:p>
  </w:footnote>
  <w:footnote w:type="continuationNotice" w:id="1">
    <w:p w14:paraId="746F4753" w14:textId="77777777" w:rsidR="00ED1A72" w:rsidRDefault="00ED1A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A7415"/>
    <w:multiLevelType w:val="hybridMultilevel"/>
    <w:tmpl w:val="3B0CA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37F1536"/>
    <w:multiLevelType w:val="hybridMultilevel"/>
    <w:tmpl w:val="FE049F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4"/>
  </w:num>
  <w:num w:numId="2" w16cid:durableId="947926532">
    <w:abstractNumId w:val="12"/>
  </w:num>
  <w:num w:numId="3" w16cid:durableId="707677894">
    <w:abstractNumId w:val="16"/>
  </w:num>
  <w:num w:numId="4" w16cid:durableId="996960357">
    <w:abstractNumId w:val="7"/>
  </w:num>
  <w:num w:numId="5" w16cid:durableId="1863325999">
    <w:abstractNumId w:val="6"/>
  </w:num>
  <w:num w:numId="6" w16cid:durableId="1146125794">
    <w:abstractNumId w:val="11"/>
  </w:num>
  <w:num w:numId="7" w16cid:durableId="704989227">
    <w:abstractNumId w:val="9"/>
  </w:num>
  <w:num w:numId="8" w16cid:durableId="914701090">
    <w:abstractNumId w:val="13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5"/>
  </w:num>
  <w:num w:numId="13" w16cid:durableId="42412369">
    <w:abstractNumId w:val="17"/>
  </w:num>
  <w:num w:numId="14" w16cid:durableId="1849520444">
    <w:abstractNumId w:val="21"/>
  </w:num>
  <w:num w:numId="15" w16cid:durableId="1393962363">
    <w:abstractNumId w:val="8"/>
  </w:num>
  <w:num w:numId="16" w16cid:durableId="1662153626">
    <w:abstractNumId w:val="0"/>
  </w:num>
  <w:num w:numId="17" w16cid:durableId="225840259">
    <w:abstractNumId w:val="15"/>
  </w:num>
  <w:num w:numId="18" w16cid:durableId="1071807189">
    <w:abstractNumId w:val="23"/>
  </w:num>
  <w:num w:numId="19" w16cid:durableId="1424447744">
    <w:abstractNumId w:val="10"/>
  </w:num>
  <w:num w:numId="20" w16cid:durableId="1742557765">
    <w:abstractNumId w:val="20"/>
  </w:num>
  <w:num w:numId="21" w16cid:durableId="17005229">
    <w:abstractNumId w:val="26"/>
  </w:num>
  <w:num w:numId="22" w16cid:durableId="518206748">
    <w:abstractNumId w:val="1"/>
  </w:num>
  <w:num w:numId="23" w16cid:durableId="1288585835">
    <w:abstractNumId w:val="22"/>
  </w:num>
  <w:num w:numId="24" w16cid:durableId="1079136840">
    <w:abstractNumId w:val="3"/>
  </w:num>
  <w:num w:numId="25" w16cid:durableId="333847005">
    <w:abstractNumId w:val="18"/>
  </w:num>
  <w:num w:numId="26" w16cid:durableId="594559463">
    <w:abstractNumId w:val="5"/>
  </w:num>
  <w:num w:numId="27" w16cid:durableId="11821589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4AAA"/>
    <w:rsid w:val="000B3201"/>
    <w:rsid w:val="000C3DF0"/>
    <w:rsid w:val="000D070E"/>
    <w:rsid w:val="000E1018"/>
    <w:rsid w:val="000E1B6E"/>
    <w:rsid w:val="000E23A4"/>
    <w:rsid w:val="000E5EFF"/>
    <w:rsid w:val="000F3B72"/>
    <w:rsid w:val="00116DAC"/>
    <w:rsid w:val="0012252F"/>
    <w:rsid w:val="00146A67"/>
    <w:rsid w:val="00154B2D"/>
    <w:rsid w:val="001566D0"/>
    <w:rsid w:val="001805D5"/>
    <w:rsid w:val="001C3AFC"/>
    <w:rsid w:val="001C4246"/>
    <w:rsid w:val="001D74AF"/>
    <w:rsid w:val="001E777E"/>
    <w:rsid w:val="001F2DA0"/>
    <w:rsid w:val="00227BA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3510A"/>
    <w:rsid w:val="00363D36"/>
    <w:rsid w:val="00367062"/>
    <w:rsid w:val="003C2131"/>
    <w:rsid w:val="003D169C"/>
    <w:rsid w:val="003E59B0"/>
    <w:rsid w:val="00410B9C"/>
    <w:rsid w:val="00425A02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571438"/>
    <w:rsid w:val="0057355D"/>
    <w:rsid w:val="00576805"/>
    <w:rsid w:val="005879FC"/>
    <w:rsid w:val="0059398F"/>
    <w:rsid w:val="005D1C17"/>
    <w:rsid w:val="005D6EC0"/>
    <w:rsid w:val="005F2652"/>
    <w:rsid w:val="00611A5B"/>
    <w:rsid w:val="006336B9"/>
    <w:rsid w:val="006611F5"/>
    <w:rsid w:val="00666606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5455E"/>
    <w:rsid w:val="0076316E"/>
    <w:rsid w:val="007934AE"/>
    <w:rsid w:val="007A3C8F"/>
    <w:rsid w:val="00801ED6"/>
    <w:rsid w:val="00825C7A"/>
    <w:rsid w:val="008272C5"/>
    <w:rsid w:val="00833E12"/>
    <w:rsid w:val="00845BAE"/>
    <w:rsid w:val="00890A47"/>
    <w:rsid w:val="00893C37"/>
    <w:rsid w:val="008A1B91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D6BC5"/>
    <w:rsid w:val="009E04F5"/>
    <w:rsid w:val="00A70991"/>
    <w:rsid w:val="00A71EC8"/>
    <w:rsid w:val="00AB1A0C"/>
    <w:rsid w:val="00AC59EC"/>
    <w:rsid w:val="00AE56E1"/>
    <w:rsid w:val="00AF15EF"/>
    <w:rsid w:val="00B11DA6"/>
    <w:rsid w:val="00B134BA"/>
    <w:rsid w:val="00B20FC6"/>
    <w:rsid w:val="00B44FF0"/>
    <w:rsid w:val="00B64C0A"/>
    <w:rsid w:val="00B74F75"/>
    <w:rsid w:val="00B804ED"/>
    <w:rsid w:val="00B83741"/>
    <w:rsid w:val="00B9547C"/>
    <w:rsid w:val="00BD4E4E"/>
    <w:rsid w:val="00BD7729"/>
    <w:rsid w:val="00C373A3"/>
    <w:rsid w:val="00C44731"/>
    <w:rsid w:val="00C56FB2"/>
    <w:rsid w:val="00C7108F"/>
    <w:rsid w:val="00C76FE2"/>
    <w:rsid w:val="00CB0C4F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6276A"/>
    <w:rsid w:val="00E63E7D"/>
    <w:rsid w:val="00E824F1"/>
    <w:rsid w:val="00E90CEA"/>
    <w:rsid w:val="00EB0ACF"/>
    <w:rsid w:val="00EC7EB1"/>
    <w:rsid w:val="00ED1A72"/>
    <w:rsid w:val="00ED70D1"/>
    <w:rsid w:val="00EF6755"/>
    <w:rsid w:val="00F01D4B"/>
    <w:rsid w:val="00F26B7A"/>
    <w:rsid w:val="00F35113"/>
    <w:rsid w:val="00F37090"/>
    <w:rsid w:val="00F56A6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5</cp:revision>
  <dcterms:created xsi:type="dcterms:W3CDTF">2023-03-27T21:24:00Z</dcterms:created>
  <dcterms:modified xsi:type="dcterms:W3CDTF">2023-03-28T03:51:00Z</dcterms:modified>
</cp:coreProperties>
</file>