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238" w:tblpY="1058"/>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67950" w:rsidRPr="003E2B1E" w14:paraId="7DF6F93C" w14:textId="77777777" w:rsidTr="3F51EF3A">
        <w:tc>
          <w:tcPr>
            <w:tcW w:w="9923" w:type="dxa"/>
          </w:tcPr>
          <w:p w14:paraId="518BDF01" w14:textId="3C819307" w:rsidR="00967950" w:rsidRPr="003E2B1E" w:rsidRDefault="00971E48" w:rsidP="000A4AAA">
            <w:pPr>
              <w:jc w:val="center"/>
              <w:rPr>
                <w:rFonts w:ascii="Times New Roman" w:hAnsi="Times New Roman"/>
                <w:b/>
                <w:sz w:val="24"/>
                <w:szCs w:val="24"/>
                <w:lang w:val="es-CO"/>
              </w:rPr>
            </w:pPr>
            <w:r w:rsidRPr="003E2B1E">
              <w:rPr>
                <w:rFonts w:ascii="Times New Roman" w:hAnsi="Times New Roman"/>
                <w:b/>
                <w:sz w:val="24"/>
                <w:szCs w:val="24"/>
                <w:lang w:val="es-CO"/>
              </w:rPr>
              <w:t>Modelo de Ficha</w:t>
            </w:r>
            <w:r w:rsidR="009E5796" w:rsidRPr="003E2B1E">
              <w:rPr>
                <w:rFonts w:ascii="Times New Roman" w:hAnsi="Times New Roman"/>
                <w:b/>
                <w:sz w:val="24"/>
                <w:szCs w:val="24"/>
                <w:lang w:val="es-CO"/>
              </w:rPr>
              <w:t>Nueva y Posnueva gestión pública ¿Continuidad o ruptura de las doctrinas de reforma a partir de 1990? Sergio Alberto Chica Vélez y Cristian Andrés Salazar Ortiz</w:t>
            </w:r>
          </w:p>
        </w:tc>
      </w:tr>
      <w:tr w:rsidR="00967950" w:rsidRPr="003E2B1E" w14:paraId="6D1A74D2" w14:textId="77777777" w:rsidTr="3F51EF3A">
        <w:tc>
          <w:tcPr>
            <w:tcW w:w="9923" w:type="dxa"/>
          </w:tcPr>
          <w:p w14:paraId="707C56CA" w14:textId="25EF1C08" w:rsidR="00967950" w:rsidRPr="003E2B1E" w:rsidRDefault="00967950" w:rsidP="000A4AAA">
            <w:pPr>
              <w:tabs>
                <w:tab w:val="center" w:pos="4252"/>
              </w:tabs>
              <w:spacing w:after="0"/>
              <w:rPr>
                <w:rFonts w:ascii="Times New Roman" w:hAnsi="Times New Roman"/>
                <w:b/>
                <w:sz w:val="24"/>
                <w:szCs w:val="24"/>
                <w:lang w:val="es-CO"/>
              </w:rPr>
            </w:pPr>
            <w:r w:rsidRPr="003E2B1E">
              <w:rPr>
                <w:rFonts w:ascii="Times New Roman" w:hAnsi="Times New Roman"/>
                <w:b/>
                <w:sz w:val="24"/>
                <w:szCs w:val="24"/>
                <w:lang w:val="es-CO"/>
              </w:rPr>
              <w:t>1. Componente Temático</w:t>
            </w:r>
            <w:r w:rsidR="00A70991" w:rsidRPr="003E2B1E">
              <w:rPr>
                <w:rFonts w:ascii="Times New Roman" w:hAnsi="Times New Roman"/>
                <w:b/>
                <w:sz w:val="24"/>
                <w:szCs w:val="24"/>
                <w:lang w:val="es-CO"/>
              </w:rPr>
              <w:tab/>
            </w:r>
          </w:p>
        </w:tc>
      </w:tr>
      <w:tr w:rsidR="00967950" w:rsidRPr="003E2B1E" w14:paraId="360ED4C1" w14:textId="77777777" w:rsidTr="3F51EF3A">
        <w:tc>
          <w:tcPr>
            <w:tcW w:w="9923" w:type="dxa"/>
          </w:tcPr>
          <w:p w14:paraId="2DBFE707" w14:textId="10E71D57" w:rsidR="00967950" w:rsidRPr="003E2B1E" w:rsidRDefault="003E2B1E" w:rsidP="000A4AAA">
            <w:pPr>
              <w:spacing w:after="0"/>
              <w:rPr>
                <w:rFonts w:ascii="Times New Roman" w:hAnsi="Times New Roman"/>
                <w:b/>
                <w:sz w:val="24"/>
                <w:szCs w:val="24"/>
                <w:lang w:val="es-CO"/>
              </w:rPr>
            </w:pPr>
            <w:r w:rsidRPr="003E2B1E">
              <w:rPr>
                <w:rFonts w:ascii="Times New Roman" w:hAnsi="Times New Roman"/>
                <w:b/>
                <w:sz w:val="24"/>
                <w:szCs w:val="24"/>
                <w:lang w:val="es-CO"/>
              </w:rPr>
              <w:t>1.1 Referencia</w:t>
            </w:r>
            <w:r w:rsidR="00967950" w:rsidRPr="003E2B1E">
              <w:rPr>
                <w:rFonts w:ascii="Times New Roman" w:hAnsi="Times New Roman"/>
                <w:b/>
                <w:sz w:val="24"/>
                <w:szCs w:val="24"/>
                <w:lang w:val="es-CO"/>
              </w:rPr>
              <w:t xml:space="preserve"> Bibliográfica</w:t>
            </w:r>
          </w:p>
        </w:tc>
      </w:tr>
      <w:tr w:rsidR="00967950" w:rsidRPr="003E2B1E" w14:paraId="0C1614CF" w14:textId="77777777" w:rsidTr="3F51EF3A">
        <w:trPr>
          <w:trHeight w:val="927"/>
        </w:trPr>
        <w:tc>
          <w:tcPr>
            <w:tcW w:w="9923" w:type="dxa"/>
          </w:tcPr>
          <w:p w14:paraId="3C1BA858" w14:textId="645675BF" w:rsidR="00967950" w:rsidRPr="003E2B1E" w:rsidRDefault="003E2B1E" w:rsidP="3F51EF3A">
            <w:pPr>
              <w:pStyle w:val="Sinespaciado1"/>
              <w:rPr>
                <w:rFonts w:ascii="Times New Roman" w:hAnsi="Times New Roman"/>
              </w:rPr>
            </w:pPr>
            <w:r w:rsidRPr="003E2B1E">
              <w:rPr>
                <w:rFonts w:ascii="Times New Roman" w:hAnsi="Times New Roman"/>
              </w:rPr>
              <w:t>Chica Vélez, S. A., &amp; Salazar Ortiz C. A. (2016). Nueva y posnueva gestión pública ¿Continuidad o ruptura de las doctrinas de reforma a partir de 1990? Administración &amp; Desarrollo, 46(1), 100-125.</w:t>
            </w:r>
          </w:p>
        </w:tc>
      </w:tr>
      <w:tr w:rsidR="00967950" w:rsidRPr="003E2B1E" w14:paraId="5A2C41DB" w14:textId="77777777" w:rsidTr="3F51EF3A">
        <w:trPr>
          <w:trHeight w:val="675"/>
        </w:trPr>
        <w:tc>
          <w:tcPr>
            <w:tcW w:w="9923" w:type="dxa"/>
          </w:tcPr>
          <w:p w14:paraId="7237B07C" w14:textId="77777777" w:rsidR="00967950" w:rsidRDefault="00967950" w:rsidP="000A4AAA">
            <w:pPr>
              <w:spacing w:after="0"/>
              <w:rPr>
                <w:rFonts w:ascii="Times New Roman" w:hAnsi="Times New Roman"/>
                <w:b/>
                <w:sz w:val="24"/>
                <w:szCs w:val="24"/>
                <w:lang w:val="es-CO"/>
              </w:rPr>
            </w:pPr>
            <w:r w:rsidRPr="003E2B1E">
              <w:rPr>
                <w:rFonts w:ascii="Times New Roman" w:hAnsi="Times New Roman"/>
                <w:b/>
                <w:sz w:val="24"/>
                <w:szCs w:val="24"/>
                <w:lang w:val="es-CO"/>
              </w:rPr>
              <w:t xml:space="preserve">1.2 </w:t>
            </w:r>
            <w:r w:rsidR="00971E48" w:rsidRPr="003E2B1E">
              <w:rPr>
                <w:rFonts w:ascii="Times New Roman" w:hAnsi="Times New Roman"/>
                <w:b/>
                <w:sz w:val="24"/>
                <w:szCs w:val="24"/>
                <w:lang w:val="es-CO"/>
              </w:rPr>
              <w:t>¿</w:t>
            </w:r>
            <w:r w:rsidRPr="003E2B1E">
              <w:rPr>
                <w:rFonts w:ascii="Times New Roman" w:hAnsi="Times New Roman"/>
                <w:b/>
                <w:sz w:val="24"/>
                <w:szCs w:val="24"/>
                <w:lang w:val="es-CO"/>
              </w:rPr>
              <w:t xml:space="preserve">Quién produce el texto? (texto académico, de ONG, de organismo internacional, </w:t>
            </w:r>
            <w:r w:rsidR="00971E48" w:rsidRPr="003E2B1E">
              <w:rPr>
                <w:rFonts w:ascii="Times New Roman" w:hAnsi="Times New Roman"/>
                <w:b/>
                <w:sz w:val="24"/>
                <w:szCs w:val="24"/>
                <w:lang w:val="es-CO"/>
              </w:rPr>
              <w:t>etc.</w:t>
            </w:r>
            <w:r w:rsidRPr="003E2B1E">
              <w:rPr>
                <w:rFonts w:ascii="Times New Roman" w:hAnsi="Times New Roman"/>
                <w:b/>
                <w:sz w:val="24"/>
                <w:szCs w:val="24"/>
                <w:lang w:val="es-CO"/>
              </w:rPr>
              <w:t>), autor, organización, entidad</w:t>
            </w:r>
          </w:p>
          <w:p w14:paraId="7551B226" w14:textId="74CD59F7" w:rsidR="008324DA" w:rsidRPr="008324DA" w:rsidRDefault="008324DA" w:rsidP="000A4AAA">
            <w:pPr>
              <w:spacing w:after="0"/>
              <w:rPr>
                <w:rFonts w:ascii="Times New Roman" w:hAnsi="Times New Roman"/>
                <w:bCs/>
                <w:sz w:val="24"/>
                <w:szCs w:val="24"/>
                <w:lang w:val="es-CO"/>
              </w:rPr>
            </w:pPr>
            <w:r w:rsidRPr="008324DA">
              <w:rPr>
                <w:rFonts w:ascii="Times New Roman" w:hAnsi="Times New Roman"/>
                <w:bCs/>
                <w:sz w:val="24"/>
                <w:szCs w:val="24"/>
                <w:lang w:val="es-CO"/>
              </w:rPr>
              <w:t>Autor</w:t>
            </w:r>
            <w:r>
              <w:rPr>
                <w:rFonts w:ascii="Times New Roman" w:hAnsi="Times New Roman"/>
                <w:bCs/>
                <w:sz w:val="24"/>
                <w:szCs w:val="24"/>
                <w:lang w:val="es-CO"/>
              </w:rPr>
              <w:t xml:space="preserve">es: </w:t>
            </w:r>
            <w:r>
              <w:t xml:space="preserve"> </w:t>
            </w:r>
            <w:r w:rsidRPr="008324DA">
              <w:rPr>
                <w:rFonts w:ascii="Times New Roman" w:hAnsi="Times New Roman"/>
                <w:bCs/>
                <w:sz w:val="24"/>
                <w:szCs w:val="24"/>
                <w:lang w:val="es-CO"/>
              </w:rPr>
              <w:t>Sergio Alberto Chica Vélez y Cristian Andrés Salazar Ortiz</w:t>
            </w:r>
          </w:p>
        </w:tc>
      </w:tr>
      <w:tr w:rsidR="00EB0ACF" w:rsidRPr="003E2B1E" w14:paraId="6C71C6D0" w14:textId="77777777" w:rsidTr="3F51EF3A">
        <w:tc>
          <w:tcPr>
            <w:tcW w:w="9923" w:type="dxa"/>
          </w:tcPr>
          <w:p w14:paraId="3D7F4597" w14:textId="6502A11A" w:rsidR="000C3DF0" w:rsidRPr="003E2B1E" w:rsidRDefault="003E2B1E" w:rsidP="3F51EF3A">
            <w:pPr>
              <w:rPr>
                <w:rFonts w:ascii="Times New Roman" w:hAnsi="Times New Roman"/>
                <w:b/>
                <w:bCs/>
                <w:sz w:val="24"/>
                <w:szCs w:val="24"/>
                <w:lang w:val="es-CO"/>
              </w:rPr>
            </w:pPr>
            <w:r w:rsidRPr="003E2B1E">
              <w:rPr>
                <w:rFonts w:ascii="Times New Roman" w:hAnsi="Times New Roman"/>
                <w:b/>
                <w:bCs/>
                <w:sz w:val="24"/>
                <w:szCs w:val="24"/>
                <w:lang w:val="es-CO"/>
              </w:rPr>
              <w:t>1.3 Tesis</w:t>
            </w:r>
            <w:r w:rsidR="00971E48" w:rsidRPr="003E2B1E">
              <w:rPr>
                <w:rFonts w:ascii="Times New Roman" w:hAnsi="Times New Roman"/>
                <w:b/>
                <w:bCs/>
                <w:sz w:val="24"/>
                <w:szCs w:val="24"/>
                <w:lang w:val="es-CO"/>
              </w:rPr>
              <w:t xml:space="preserve"> centrales</w:t>
            </w:r>
            <w:r w:rsidR="00967950" w:rsidRPr="003E2B1E">
              <w:rPr>
                <w:rFonts w:ascii="Times New Roman" w:hAnsi="Times New Roman"/>
                <w:b/>
                <w:bCs/>
                <w:sz w:val="24"/>
                <w:szCs w:val="24"/>
                <w:lang w:val="es-CO"/>
              </w:rPr>
              <w:t xml:space="preserve"> y argumentación</w:t>
            </w:r>
          </w:p>
          <w:p w14:paraId="50EF4F14" w14:textId="77777777" w:rsidR="003E2B1E" w:rsidRDefault="003E2B1E" w:rsidP="003E2B1E">
            <w:pPr>
              <w:pStyle w:val="Prrafodelista"/>
              <w:numPr>
                <w:ilvl w:val="0"/>
                <w:numId w:val="26"/>
              </w:numPr>
              <w:ind w:left="311"/>
              <w:rPr>
                <w:rFonts w:ascii="Times New Roman" w:hAnsi="Times New Roman"/>
                <w:sz w:val="24"/>
                <w:szCs w:val="24"/>
                <w:lang w:val="es-CO"/>
              </w:rPr>
            </w:pPr>
            <w:r w:rsidRPr="003E2B1E">
              <w:rPr>
                <w:rFonts w:ascii="Times New Roman" w:hAnsi="Times New Roman"/>
                <w:sz w:val="24"/>
                <w:szCs w:val="24"/>
                <w:lang w:val="es-CO"/>
              </w:rPr>
              <w:t>Las diferencias notables entre la NGP y la PNGP tienen que ver entonces con dos aspectos fundamentales los cuales son: 1) centralización frente a una perspectiva de trabajo en redes, y 2) de forma más concreta, un acento especial en lo que se denomina ethos y cultura dze lo público, el cual es totalmente diferente del ethos y cultura de lo privado, aspectos que como señalan Hajnal y Rosta, hacen parte de las dimensiones constitutivas de la PNGP</w:t>
            </w:r>
            <w:r w:rsidRPr="003E2B1E">
              <w:rPr>
                <w:rFonts w:ascii="Times New Roman" w:hAnsi="Times New Roman"/>
                <w:sz w:val="24"/>
                <w:szCs w:val="24"/>
                <w:lang w:val="es-CO"/>
              </w:rPr>
              <w:t>. (Chica, 2016, p.108)</w:t>
            </w:r>
          </w:p>
          <w:p w14:paraId="3CCBAB27" w14:textId="2159629C" w:rsidR="003E2B1E" w:rsidRPr="003E2B1E" w:rsidRDefault="003B38B0" w:rsidP="003B38B0">
            <w:pPr>
              <w:pStyle w:val="Prrafodelista"/>
              <w:numPr>
                <w:ilvl w:val="0"/>
                <w:numId w:val="26"/>
              </w:numPr>
              <w:ind w:left="311"/>
              <w:rPr>
                <w:rFonts w:ascii="Times New Roman" w:hAnsi="Times New Roman"/>
                <w:sz w:val="24"/>
                <w:szCs w:val="24"/>
                <w:lang w:val="es-CO"/>
              </w:rPr>
            </w:pPr>
            <w:r>
              <w:rPr>
                <w:rFonts w:ascii="Times New Roman" w:hAnsi="Times New Roman"/>
                <w:sz w:val="24"/>
                <w:szCs w:val="24"/>
                <w:lang w:val="es-CO"/>
              </w:rPr>
              <w:t>S</w:t>
            </w:r>
            <w:r w:rsidRPr="003B38B0">
              <w:rPr>
                <w:rFonts w:ascii="Times New Roman" w:hAnsi="Times New Roman"/>
                <w:sz w:val="24"/>
                <w:szCs w:val="24"/>
                <w:lang w:val="es-CO"/>
              </w:rPr>
              <w:t xml:space="preserve">e ha considerado que la NGP y la PNGP tienen elementos divergentes, no se ha logrado clarificar si dichas </w:t>
            </w:r>
            <w:r w:rsidRPr="003B38B0">
              <w:rPr>
                <w:rFonts w:ascii="Times New Roman" w:hAnsi="Times New Roman"/>
                <w:sz w:val="24"/>
                <w:szCs w:val="24"/>
                <w:lang w:val="es-CO"/>
              </w:rPr>
              <w:t>divergencias</w:t>
            </w:r>
            <w:r w:rsidRPr="003B38B0">
              <w:rPr>
                <w:rFonts w:ascii="Times New Roman" w:hAnsi="Times New Roman"/>
                <w:sz w:val="24"/>
                <w:szCs w:val="24"/>
                <w:lang w:val="es-CO"/>
              </w:rPr>
              <w:t xml:space="preserve"> están determinadas bien sea por continuidades de los procesos de reforma emprendidos por la NGP, pero sopesando sus dificultades y falencias; o por el contrario, si las diferencias responden a un quiebre de enfoques sustentado en la PNGP como antítesis de la NGP, y por ende, más allá de constituir el mismo enfoque con </w:t>
            </w:r>
            <w:r w:rsidRPr="003B38B0">
              <w:rPr>
                <w:rFonts w:ascii="Times New Roman" w:hAnsi="Times New Roman"/>
                <w:sz w:val="24"/>
                <w:szCs w:val="24"/>
                <w:lang w:val="es-CO"/>
              </w:rPr>
              <w:t>diferente</w:t>
            </w:r>
            <w:r w:rsidRPr="003B38B0">
              <w:rPr>
                <w:rFonts w:ascii="Times New Roman" w:hAnsi="Times New Roman"/>
                <w:sz w:val="24"/>
                <w:szCs w:val="24"/>
                <w:lang w:val="es-CO"/>
              </w:rPr>
              <w:t xml:space="preserve"> envoltura, se habla propiamente de la emergencia de un nuevo paradigma de reforma estatal</w:t>
            </w:r>
            <w:r>
              <w:rPr>
                <w:rFonts w:ascii="Times New Roman" w:hAnsi="Times New Roman"/>
                <w:sz w:val="24"/>
                <w:szCs w:val="24"/>
                <w:lang w:val="es-CO"/>
              </w:rPr>
              <w:t xml:space="preserve">. </w:t>
            </w:r>
            <w:r w:rsidRPr="003E2B1E">
              <w:rPr>
                <w:rFonts w:ascii="Times New Roman" w:hAnsi="Times New Roman"/>
                <w:sz w:val="24"/>
                <w:szCs w:val="24"/>
                <w:lang w:val="es-CO"/>
              </w:rPr>
              <w:t>(Chica, 2016, p.1</w:t>
            </w:r>
            <w:r>
              <w:rPr>
                <w:rFonts w:ascii="Times New Roman" w:hAnsi="Times New Roman"/>
                <w:sz w:val="24"/>
                <w:szCs w:val="24"/>
                <w:lang w:val="es-CO"/>
              </w:rPr>
              <w:t>10</w:t>
            </w:r>
            <w:r w:rsidRPr="003E2B1E">
              <w:rPr>
                <w:rFonts w:ascii="Times New Roman" w:hAnsi="Times New Roman"/>
                <w:sz w:val="24"/>
                <w:szCs w:val="24"/>
                <w:lang w:val="es-CO"/>
              </w:rPr>
              <w:t>)</w:t>
            </w:r>
          </w:p>
        </w:tc>
      </w:tr>
      <w:tr w:rsidR="00EB0ACF" w:rsidRPr="003E2B1E" w14:paraId="1CB228EE" w14:textId="77777777" w:rsidTr="3F51EF3A">
        <w:tc>
          <w:tcPr>
            <w:tcW w:w="9923" w:type="dxa"/>
          </w:tcPr>
          <w:p w14:paraId="7BD104CD" w14:textId="5DDC715D" w:rsidR="00EB0ACF" w:rsidRPr="003E2B1E" w:rsidRDefault="003E2B1E" w:rsidP="000A4AAA">
            <w:pPr>
              <w:rPr>
                <w:rFonts w:ascii="Times New Roman" w:hAnsi="Times New Roman"/>
                <w:b/>
                <w:sz w:val="24"/>
                <w:szCs w:val="24"/>
                <w:lang w:val="es-CO"/>
              </w:rPr>
            </w:pPr>
            <w:r w:rsidRPr="003E2B1E">
              <w:rPr>
                <w:rFonts w:ascii="Times New Roman" w:hAnsi="Times New Roman"/>
                <w:b/>
                <w:sz w:val="24"/>
                <w:szCs w:val="24"/>
                <w:lang w:val="es-CO"/>
              </w:rPr>
              <w:t>1.4 Referencias</w:t>
            </w:r>
            <w:r w:rsidR="00967950" w:rsidRPr="003E2B1E">
              <w:rPr>
                <w:rFonts w:ascii="Times New Roman" w:hAnsi="Times New Roman"/>
                <w:b/>
                <w:sz w:val="24"/>
                <w:szCs w:val="24"/>
                <w:lang w:val="es-CO"/>
              </w:rPr>
              <w:t xml:space="preserve"> teóricas y conceptuales del texto</w:t>
            </w:r>
          </w:p>
        </w:tc>
      </w:tr>
      <w:tr w:rsidR="00EB0ACF" w:rsidRPr="003E2B1E" w14:paraId="150A8B0C" w14:textId="77777777" w:rsidTr="3F51EF3A">
        <w:trPr>
          <w:trHeight w:val="345"/>
        </w:trPr>
        <w:tc>
          <w:tcPr>
            <w:tcW w:w="9923" w:type="dxa"/>
          </w:tcPr>
          <w:p w14:paraId="4805181F" w14:textId="7E3D14CB" w:rsidR="008324DA" w:rsidRPr="008324DA" w:rsidRDefault="008324DA" w:rsidP="00B1613B">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Banco</w:t>
            </w:r>
            <w:r w:rsidRPr="008324DA">
              <w:rPr>
                <w:rFonts w:ascii="Times New Roman" w:hAnsi="Times New Roman"/>
                <w:i/>
                <w:sz w:val="24"/>
                <w:szCs w:val="24"/>
                <w:lang w:val="es-CO"/>
              </w:rPr>
              <w:t xml:space="preserve"> Interamericano de Desarrollo (BID). (2007). Banco </w:t>
            </w:r>
            <w:r w:rsidRPr="008324DA">
              <w:rPr>
                <w:rFonts w:ascii="Times New Roman" w:hAnsi="Times New Roman"/>
                <w:sz w:val="24"/>
                <w:szCs w:val="24"/>
                <w:lang w:val="es-CO"/>
              </w:rPr>
              <w:t>Interamericano</w:t>
            </w:r>
            <w:r w:rsidRPr="008324DA">
              <w:rPr>
                <w:rFonts w:ascii="Times New Roman" w:hAnsi="Times New Roman"/>
                <w:i/>
                <w:sz w:val="24"/>
                <w:szCs w:val="24"/>
                <w:lang w:val="es-CO"/>
              </w:rPr>
              <w:t xml:space="preserve"> de Desarrollo (BID) y Centro </w:t>
            </w:r>
            <w:r w:rsidRPr="008324DA">
              <w:rPr>
                <w:rFonts w:ascii="Times New Roman" w:hAnsi="Times New Roman"/>
                <w:i/>
                <w:sz w:val="24"/>
                <w:szCs w:val="24"/>
                <w:lang w:val="es-CO"/>
              </w:rPr>
              <w:t>Latinoamericano</w:t>
            </w:r>
            <w:r w:rsidRPr="008324DA">
              <w:rPr>
                <w:rFonts w:ascii="Times New Roman" w:hAnsi="Times New Roman"/>
                <w:i/>
                <w:sz w:val="24"/>
                <w:szCs w:val="24"/>
                <w:lang w:val="es-CO"/>
              </w:rPr>
              <w:t xml:space="preserve"> de Administración para el Desarrollo (CLAD). </w:t>
            </w:r>
            <w:r w:rsidRPr="008324DA">
              <w:rPr>
                <w:rFonts w:ascii="Times New Roman" w:hAnsi="Times New Roman"/>
                <w:sz w:val="24"/>
                <w:szCs w:val="24"/>
                <w:lang w:val="es-CO"/>
              </w:rPr>
              <w:t>Washington</w:t>
            </w:r>
            <w:r w:rsidRPr="008324DA">
              <w:rPr>
                <w:rFonts w:ascii="Times New Roman" w:hAnsi="Times New Roman"/>
                <w:i/>
                <w:sz w:val="24"/>
                <w:szCs w:val="24"/>
                <w:lang w:val="es-CO"/>
              </w:rPr>
              <w:t>, D. C: BI.</w:t>
            </w:r>
          </w:p>
          <w:p w14:paraId="08FA08E9" w14:textId="0E6C4533" w:rsidR="008324DA" w:rsidRPr="008324DA" w:rsidRDefault="008324DA" w:rsidP="00DE4552">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Banco </w:t>
            </w:r>
            <w:r w:rsidRPr="008324DA">
              <w:rPr>
                <w:rFonts w:ascii="Times New Roman" w:hAnsi="Times New Roman"/>
                <w:sz w:val="24"/>
                <w:szCs w:val="24"/>
                <w:lang w:val="es-CO"/>
              </w:rPr>
              <w:t>Interamericano</w:t>
            </w:r>
            <w:r w:rsidRPr="008324DA">
              <w:rPr>
                <w:rFonts w:ascii="Times New Roman" w:hAnsi="Times New Roman"/>
                <w:i/>
                <w:sz w:val="24"/>
                <w:szCs w:val="24"/>
                <w:lang w:val="es-CO"/>
              </w:rPr>
              <w:t xml:space="preserve"> de Desarrollo (BID). (2008). Buenas </w:t>
            </w:r>
            <w:r w:rsidRPr="008324DA">
              <w:rPr>
                <w:rFonts w:ascii="Times New Roman" w:hAnsi="Times New Roman"/>
                <w:sz w:val="24"/>
                <w:szCs w:val="24"/>
                <w:lang w:val="es-CO"/>
              </w:rPr>
              <w:t>prácticas</w:t>
            </w:r>
            <w:r w:rsidRPr="008324DA">
              <w:rPr>
                <w:rFonts w:ascii="Times New Roman" w:hAnsi="Times New Roman"/>
                <w:i/>
                <w:sz w:val="24"/>
                <w:szCs w:val="24"/>
                <w:lang w:val="es-CO"/>
              </w:rPr>
              <w:t xml:space="preserve"> emergentes en la Gestión para Resultados en el </w:t>
            </w:r>
            <w:r w:rsidRPr="008324DA">
              <w:rPr>
                <w:rFonts w:ascii="Times New Roman" w:hAnsi="Times New Roman"/>
                <w:sz w:val="24"/>
                <w:szCs w:val="24"/>
                <w:lang w:val="es-CO"/>
              </w:rPr>
              <w:t>Desarrollo</w:t>
            </w:r>
            <w:r w:rsidRPr="008324DA">
              <w:rPr>
                <w:rFonts w:ascii="Times New Roman" w:hAnsi="Times New Roman"/>
                <w:i/>
                <w:sz w:val="24"/>
                <w:szCs w:val="24"/>
                <w:lang w:val="es-CO"/>
              </w:rPr>
              <w:t xml:space="preserve">. Libro de consulta 3ª </w:t>
            </w:r>
            <w:r w:rsidRPr="008324DA">
              <w:rPr>
                <w:rFonts w:ascii="Times New Roman" w:hAnsi="Times New Roman"/>
                <w:i/>
                <w:sz w:val="24"/>
                <w:szCs w:val="24"/>
                <w:lang w:val="es-CO"/>
              </w:rPr>
              <w:t>Edición</w:t>
            </w:r>
            <w:r w:rsidRPr="008324DA">
              <w:rPr>
                <w:rFonts w:ascii="Times New Roman" w:hAnsi="Times New Roman"/>
                <w:i/>
                <w:sz w:val="24"/>
                <w:szCs w:val="24"/>
                <w:lang w:val="es-CO"/>
              </w:rPr>
              <w:t>. Washington D.C.</w:t>
            </w:r>
          </w:p>
          <w:p w14:paraId="284C6D79" w14:textId="5733013A" w:rsidR="008324DA" w:rsidRPr="008324DA" w:rsidRDefault="008324DA" w:rsidP="00EA627A">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Barzelay, M. (2003). La nueva gerencia pública. Un </w:t>
            </w:r>
            <w:r w:rsidRPr="008324DA">
              <w:rPr>
                <w:rFonts w:ascii="Times New Roman" w:hAnsi="Times New Roman"/>
                <w:i/>
                <w:sz w:val="24"/>
                <w:szCs w:val="24"/>
                <w:lang w:val="es-CO"/>
              </w:rPr>
              <w:t>acercamiento</w:t>
            </w:r>
            <w:r w:rsidRPr="008324DA">
              <w:rPr>
                <w:rFonts w:ascii="Times New Roman" w:hAnsi="Times New Roman"/>
                <w:i/>
                <w:sz w:val="24"/>
                <w:szCs w:val="24"/>
                <w:lang w:val="es-CO"/>
              </w:rPr>
              <w:t xml:space="preserve"> a la investigación y al debate de las </w:t>
            </w:r>
            <w:r w:rsidRPr="008324DA">
              <w:rPr>
                <w:rFonts w:ascii="Times New Roman" w:hAnsi="Times New Roman"/>
                <w:sz w:val="24"/>
                <w:szCs w:val="24"/>
                <w:lang w:val="es-CO"/>
              </w:rPr>
              <w:t>políticas</w:t>
            </w:r>
            <w:r w:rsidRPr="008324DA">
              <w:rPr>
                <w:rFonts w:ascii="Times New Roman" w:hAnsi="Times New Roman"/>
                <w:i/>
                <w:sz w:val="24"/>
                <w:szCs w:val="24"/>
                <w:lang w:val="es-CO"/>
              </w:rPr>
              <w:t xml:space="preserve"> públicas. México: FC.</w:t>
            </w:r>
          </w:p>
          <w:p w14:paraId="5E14C0A7" w14:textId="29F05960" w:rsidR="008324DA" w:rsidRPr="008324DA" w:rsidRDefault="008324DA" w:rsidP="00B0434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Barzelay, M. (2011). La Nueva Gestión Pública. En: Guillermo M. </w:t>
            </w:r>
            <w:r w:rsidRPr="008324DA">
              <w:rPr>
                <w:rFonts w:ascii="Times New Roman" w:hAnsi="Times New Roman"/>
                <w:sz w:val="24"/>
                <w:szCs w:val="24"/>
                <w:lang w:val="es-CO"/>
              </w:rPr>
              <w:t>Cejudo</w:t>
            </w:r>
            <w:r w:rsidRPr="008324DA">
              <w:rPr>
                <w:rFonts w:ascii="Times New Roman" w:hAnsi="Times New Roman"/>
                <w:i/>
                <w:sz w:val="24"/>
                <w:szCs w:val="24"/>
                <w:lang w:val="es-CO"/>
              </w:rPr>
              <w:t xml:space="preserve"> (Comp.) La Nueva Gestión Pública. Siglo XXI Editores, 114 –, 15.</w:t>
            </w:r>
          </w:p>
          <w:p w14:paraId="455E93EA" w14:textId="2B5C5773" w:rsidR="008324DA" w:rsidRPr="008324DA" w:rsidRDefault="008324DA" w:rsidP="003A061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Cáceres, G., T y Arellano </w:t>
            </w:r>
            <w:r w:rsidRPr="008324DA">
              <w:rPr>
                <w:rFonts w:ascii="Times New Roman" w:hAnsi="Times New Roman"/>
                <w:i/>
                <w:sz w:val="24"/>
                <w:szCs w:val="24"/>
                <w:lang w:val="es-CO"/>
              </w:rPr>
              <w:t>Rodríguez</w:t>
            </w:r>
            <w:r w:rsidRPr="008324DA">
              <w:rPr>
                <w:rFonts w:ascii="Times New Roman" w:hAnsi="Times New Roman"/>
                <w:i/>
                <w:sz w:val="24"/>
                <w:szCs w:val="24"/>
                <w:lang w:val="es-CO"/>
              </w:rPr>
              <w:t xml:space="preserve"> &amp; M, (2007). Tendencias </w:t>
            </w:r>
            <w:r w:rsidRPr="008324DA">
              <w:rPr>
                <w:rFonts w:ascii="Times New Roman" w:hAnsi="Times New Roman"/>
                <w:sz w:val="24"/>
                <w:szCs w:val="24"/>
                <w:lang w:val="es-CO"/>
              </w:rPr>
              <w:t>neoliberales</w:t>
            </w:r>
            <w:r w:rsidRPr="008324DA">
              <w:rPr>
                <w:rFonts w:ascii="Times New Roman" w:hAnsi="Times New Roman"/>
                <w:i/>
                <w:sz w:val="24"/>
                <w:szCs w:val="24"/>
                <w:lang w:val="es-CO"/>
              </w:rPr>
              <w:t xml:space="preserve"> en la reforma de la gestión pública en América </w:t>
            </w:r>
            <w:r w:rsidRPr="008324DA">
              <w:rPr>
                <w:rFonts w:ascii="Times New Roman" w:hAnsi="Times New Roman"/>
                <w:sz w:val="24"/>
                <w:szCs w:val="24"/>
                <w:lang w:val="es-CO"/>
              </w:rPr>
              <w:t>Latina</w:t>
            </w:r>
            <w:r w:rsidRPr="008324DA">
              <w:rPr>
                <w:rFonts w:ascii="Times New Roman" w:hAnsi="Times New Roman"/>
                <w:i/>
                <w:sz w:val="24"/>
                <w:szCs w:val="24"/>
                <w:lang w:val="es-CO"/>
              </w:rPr>
              <w:t>. Revista gerencia y salud. 45(46-65).</w:t>
            </w:r>
          </w:p>
          <w:p w14:paraId="390F0B0E" w14:textId="77FC53B5" w:rsidR="008324DA" w:rsidRPr="008324DA" w:rsidRDefault="008324DA" w:rsidP="00F37A9A">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Cejudo, G. M. (2011). La Nueva Gestión Pública. Una introducción al </w:t>
            </w:r>
            <w:r w:rsidRPr="008324DA">
              <w:rPr>
                <w:rFonts w:ascii="Times New Roman" w:hAnsi="Times New Roman"/>
                <w:sz w:val="24"/>
                <w:szCs w:val="24"/>
                <w:lang w:val="es-CO"/>
              </w:rPr>
              <w:t>Concepto</w:t>
            </w:r>
            <w:r w:rsidRPr="008324DA">
              <w:rPr>
                <w:rFonts w:ascii="Times New Roman" w:hAnsi="Times New Roman"/>
                <w:i/>
                <w:sz w:val="24"/>
                <w:szCs w:val="24"/>
                <w:lang w:val="es-CO"/>
              </w:rPr>
              <w:t xml:space="preserve"> y a la práctica. En: Guillermo M. Cejudo (Comp.) La </w:t>
            </w:r>
            <w:r w:rsidRPr="008324DA">
              <w:rPr>
                <w:rFonts w:ascii="Times New Roman" w:hAnsi="Times New Roman"/>
                <w:sz w:val="24"/>
                <w:szCs w:val="24"/>
                <w:lang w:val="es-CO"/>
              </w:rPr>
              <w:t>Nueva</w:t>
            </w:r>
            <w:r w:rsidRPr="008324DA">
              <w:rPr>
                <w:rFonts w:ascii="Times New Roman" w:hAnsi="Times New Roman"/>
                <w:i/>
                <w:sz w:val="24"/>
                <w:szCs w:val="24"/>
                <w:lang w:val="es-CO"/>
              </w:rPr>
              <w:t xml:space="preserve"> Gestión Pública. Siglo XXI. Editores, 17-47.</w:t>
            </w:r>
          </w:p>
          <w:p w14:paraId="244FB0E2" w14:textId="5BECA349" w:rsidR="008324DA" w:rsidRPr="008324DA" w:rsidRDefault="008324DA" w:rsidP="002A072D">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Chica </w:t>
            </w:r>
            <w:r w:rsidRPr="008324DA">
              <w:rPr>
                <w:rFonts w:ascii="Times New Roman" w:hAnsi="Times New Roman"/>
                <w:sz w:val="24"/>
                <w:szCs w:val="24"/>
                <w:lang w:val="es-CO"/>
              </w:rPr>
              <w:t>Vélez</w:t>
            </w:r>
            <w:r w:rsidRPr="008324DA">
              <w:rPr>
                <w:rFonts w:ascii="Times New Roman" w:hAnsi="Times New Roman"/>
                <w:i/>
                <w:sz w:val="24"/>
                <w:szCs w:val="24"/>
                <w:lang w:val="es-CO"/>
              </w:rPr>
              <w:t xml:space="preserve">, Sergio. (2011). Una mirada a los nuevos enfoques de la </w:t>
            </w:r>
            <w:r w:rsidRPr="008324DA">
              <w:rPr>
                <w:rFonts w:ascii="Times New Roman" w:hAnsi="Times New Roman"/>
                <w:sz w:val="24"/>
                <w:szCs w:val="24"/>
                <w:lang w:val="es-CO"/>
              </w:rPr>
              <w:t>gestión</w:t>
            </w:r>
            <w:r w:rsidRPr="008324DA">
              <w:rPr>
                <w:rFonts w:ascii="Times New Roman" w:hAnsi="Times New Roman"/>
                <w:i/>
                <w:sz w:val="24"/>
                <w:szCs w:val="24"/>
                <w:lang w:val="es-CO"/>
              </w:rPr>
              <w:t xml:space="preserve"> </w:t>
            </w:r>
            <w:r w:rsidRPr="008324DA">
              <w:rPr>
                <w:rFonts w:ascii="Times New Roman" w:hAnsi="Times New Roman"/>
                <w:i/>
                <w:sz w:val="24"/>
                <w:szCs w:val="24"/>
                <w:lang w:val="es-CO"/>
              </w:rPr>
              <w:t>pública</w:t>
            </w:r>
            <w:r w:rsidRPr="008324DA">
              <w:rPr>
                <w:rFonts w:ascii="Times New Roman" w:hAnsi="Times New Roman"/>
                <w:i/>
                <w:sz w:val="24"/>
                <w:szCs w:val="24"/>
                <w:lang w:val="es-CO"/>
              </w:rPr>
              <w:t xml:space="preserve">. </w:t>
            </w:r>
            <w:r w:rsidRPr="008324DA">
              <w:rPr>
                <w:rFonts w:ascii="Times New Roman" w:hAnsi="Times New Roman"/>
                <w:i/>
                <w:sz w:val="24"/>
                <w:szCs w:val="24"/>
                <w:lang w:val="es-CO"/>
              </w:rPr>
              <w:t>Administración</w:t>
            </w:r>
            <w:r w:rsidRPr="008324DA">
              <w:rPr>
                <w:rFonts w:ascii="Times New Roman" w:hAnsi="Times New Roman"/>
                <w:i/>
                <w:sz w:val="24"/>
                <w:szCs w:val="24"/>
                <w:lang w:val="es-CO"/>
              </w:rPr>
              <w:t xml:space="preserve"> &amp; Desarrollo, 39 (53), 57-74</w:t>
            </w:r>
          </w:p>
          <w:p w14:paraId="2041A206" w14:textId="20410FF9" w:rsidR="008324DA" w:rsidRPr="008324DA" w:rsidRDefault="008324DA" w:rsidP="008324DA">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Christensen</w:t>
            </w:r>
            <w:r w:rsidRPr="008324DA">
              <w:rPr>
                <w:rFonts w:ascii="Times New Roman" w:hAnsi="Times New Roman"/>
                <w:i/>
                <w:sz w:val="24"/>
                <w:szCs w:val="24"/>
                <w:lang w:val="es-CO"/>
              </w:rPr>
              <w:t>, T. (2012). Post-NPM and changing public governance. Meiji Journal of Political Science and Economics,11.</w:t>
            </w:r>
          </w:p>
          <w:p w14:paraId="1C72A8BD" w14:textId="2289FFF0" w:rsidR="008324DA" w:rsidRPr="008324DA" w:rsidRDefault="008324DA" w:rsidP="007622F6">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lastRenderedPageBreak/>
              <w:t>Christensen</w:t>
            </w:r>
            <w:r w:rsidRPr="008324DA">
              <w:rPr>
                <w:rFonts w:ascii="Times New Roman" w:hAnsi="Times New Roman"/>
                <w:i/>
                <w:sz w:val="24"/>
                <w:szCs w:val="24"/>
                <w:lang w:val="es-CO"/>
              </w:rPr>
              <w:t xml:space="preserve">, T., &amp; Lægreid, P. (2005). El estado fragmentado: los retos de combinar eficiencia, normas institucionales y </w:t>
            </w:r>
            <w:r w:rsidRPr="008324DA">
              <w:rPr>
                <w:rFonts w:ascii="Times New Roman" w:hAnsi="Times New Roman"/>
                <w:i/>
                <w:sz w:val="24"/>
                <w:szCs w:val="24"/>
                <w:lang w:val="es-CO"/>
              </w:rPr>
              <w:t>democracia</w:t>
            </w:r>
            <w:r w:rsidRPr="008324DA">
              <w:rPr>
                <w:rFonts w:ascii="Times New Roman" w:hAnsi="Times New Roman"/>
                <w:i/>
                <w:sz w:val="24"/>
                <w:szCs w:val="24"/>
                <w:lang w:val="es-CO"/>
              </w:rPr>
              <w:t>. Gestión y Política Pública. XIV, 3, 557-598.</w:t>
            </w:r>
          </w:p>
          <w:p w14:paraId="637DEB4D" w14:textId="332541E6" w:rsidR="008324DA" w:rsidRPr="008324DA" w:rsidRDefault="008324DA" w:rsidP="003F69D9">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Christensen</w:t>
            </w:r>
            <w:r w:rsidRPr="008324DA">
              <w:rPr>
                <w:rFonts w:ascii="Times New Roman" w:hAnsi="Times New Roman"/>
                <w:i/>
                <w:sz w:val="24"/>
                <w:szCs w:val="24"/>
                <w:lang w:val="es-CO"/>
              </w:rPr>
              <w:t xml:space="preserve">, T., &amp; Lægreid, P. (2007). Reformas Post nueva </w:t>
            </w:r>
            <w:r w:rsidRPr="008324DA">
              <w:rPr>
                <w:rFonts w:ascii="Times New Roman" w:hAnsi="Times New Roman"/>
                <w:i/>
                <w:sz w:val="24"/>
                <w:szCs w:val="24"/>
                <w:lang w:val="es-CO"/>
              </w:rPr>
              <w:t>gestión</w:t>
            </w:r>
            <w:r w:rsidRPr="008324DA">
              <w:rPr>
                <w:rFonts w:ascii="Times New Roman" w:hAnsi="Times New Roman"/>
                <w:i/>
                <w:sz w:val="24"/>
                <w:szCs w:val="24"/>
                <w:lang w:val="es-CO"/>
              </w:rPr>
              <w:t xml:space="preserve"> Pública. Tendencias empíricas y retos académicos. </w:t>
            </w:r>
            <w:r w:rsidRPr="008324DA">
              <w:rPr>
                <w:rFonts w:ascii="Times New Roman" w:hAnsi="Times New Roman"/>
                <w:sz w:val="24"/>
                <w:szCs w:val="24"/>
                <w:lang w:val="es-CO"/>
              </w:rPr>
              <w:t>Gestión</w:t>
            </w:r>
            <w:r w:rsidRPr="008324DA">
              <w:rPr>
                <w:rFonts w:ascii="Times New Roman" w:hAnsi="Times New Roman"/>
                <w:i/>
                <w:sz w:val="24"/>
                <w:szCs w:val="24"/>
                <w:lang w:val="es-CO"/>
              </w:rPr>
              <w:t xml:space="preserve"> y Política Pública, XVI (2).</w:t>
            </w:r>
          </w:p>
          <w:p w14:paraId="7B7DF293" w14:textId="17648EA6" w:rsidR="008324DA" w:rsidRPr="008324DA" w:rsidRDefault="008324DA" w:rsidP="00BE2DB3">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Fennell, M. L. (1980). The effects of environmental characteristics on the structure of hospital clusters. Administrative Science Quarterly, 25(3), 485-510. Retrieved from </w:t>
            </w:r>
            <w:r w:rsidRPr="008324DA">
              <w:rPr>
                <w:rFonts w:ascii="Times New Roman" w:hAnsi="Times New Roman"/>
                <w:sz w:val="24"/>
                <w:szCs w:val="24"/>
                <w:lang w:val="es-CO"/>
              </w:rPr>
              <w:t>http</w:t>
            </w:r>
            <w:r w:rsidRPr="008324DA">
              <w:rPr>
                <w:rFonts w:ascii="Times New Roman" w:hAnsi="Times New Roman"/>
                <w:i/>
                <w:sz w:val="24"/>
                <w:szCs w:val="24"/>
                <w:lang w:val="es-CO"/>
              </w:rPr>
              <w:t>://www.scholaruniverse.com/ncbi-linkout?id=10248233 pmid:10248233</w:t>
            </w:r>
          </w:p>
          <w:p w14:paraId="2A2C90C8" w14:textId="31A9552B" w:rsidR="008324DA" w:rsidRPr="008324DA" w:rsidRDefault="008324DA" w:rsidP="00FC283B">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Fischer</w:t>
            </w:r>
            <w:r w:rsidRPr="008324DA">
              <w:rPr>
                <w:rFonts w:ascii="Times New Roman" w:hAnsi="Times New Roman"/>
                <w:i/>
                <w:sz w:val="24"/>
                <w:szCs w:val="24"/>
                <w:lang w:val="es-CO"/>
              </w:rPr>
              <w:t xml:space="preserve">, F. (2009). Democracy and Expertise. Oxford: University </w:t>
            </w:r>
            <w:r w:rsidRPr="008324DA">
              <w:rPr>
                <w:rFonts w:ascii="Times New Roman" w:hAnsi="Times New Roman"/>
                <w:sz w:val="24"/>
                <w:szCs w:val="24"/>
                <w:lang w:val="es-CO"/>
              </w:rPr>
              <w:t>Press</w:t>
            </w:r>
            <w:r w:rsidRPr="008324DA">
              <w:rPr>
                <w:rFonts w:ascii="Times New Roman" w:hAnsi="Times New Roman"/>
                <w:i/>
                <w:sz w:val="24"/>
                <w:szCs w:val="24"/>
                <w:lang w:val="es-CO"/>
              </w:rPr>
              <w:t>.</w:t>
            </w:r>
          </w:p>
          <w:p w14:paraId="4419827F" w14:textId="1EB59261" w:rsidR="008324DA" w:rsidRPr="008324DA" w:rsidRDefault="008324DA" w:rsidP="008874B3">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Fukuyama</w:t>
            </w:r>
            <w:r w:rsidRPr="008324DA">
              <w:rPr>
                <w:rFonts w:ascii="Times New Roman" w:hAnsi="Times New Roman"/>
                <w:i/>
                <w:sz w:val="24"/>
                <w:szCs w:val="24"/>
                <w:lang w:val="es-CO"/>
              </w:rPr>
              <w:t xml:space="preserve">, F. (1998). Trust = La Confianza. Barcelona: Ediciones Grupo </w:t>
            </w:r>
            <w:r w:rsidRPr="008324DA">
              <w:rPr>
                <w:rFonts w:ascii="Times New Roman" w:hAnsi="Times New Roman"/>
                <w:sz w:val="24"/>
                <w:szCs w:val="24"/>
                <w:lang w:val="es-CO"/>
              </w:rPr>
              <w:t>Zeta</w:t>
            </w:r>
            <w:r w:rsidRPr="008324DA">
              <w:rPr>
                <w:rFonts w:ascii="Times New Roman" w:hAnsi="Times New Roman"/>
                <w:i/>
                <w:sz w:val="24"/>
                <w:szCs w:val="24"/>
                <w:lang w:val="es-CO"/>
              </w:rPr>
              <w:t>.</w:t>
            </w:r>
          </w:p>
          <w:p w14:paraId="1B1030F0" w14:textId="77777777" w:rsidR="00EB0ACF" w:rsidRDefault="008324DA" w:rsidP="008324DA">
            <w:pPr>
              <w:pStyle w:val="Prrafodelista"/>
              <w:numPr>
                <w:ilvl w:val="0"/>
                <w:numId w:val="26"/>
              </w:numPr>
              <w:ind w:left="311"/>
              <w:rPr>
                <w:rFonts w:ascii="Times New Roman" w:hAnsi="Times New Roman"/>
                <w:i/>
                <w:sz w:val="24"/>
                <w:szCs w:val="24"/>
                <w:lang w:val="es-CO"/>
              </w:rPr>
            </w:pPr>
            <w:r w:rsidRPr="008324DA">
              <w:rPr>
                <w:rFonts w:ascii="Times New Roman" w:hAnsi="Times New Roman"/>
                <w:sz w:val="24"/>
                <w:szCs w:val="24"/>
                <w:lang w:val="es-CO"/>
              </w:rPr>
              <w:t>Guerrero</w:t>
            </w:r>
            <w:r w:rsidRPr="008324DA">
              <w:rPr>
                <w:rFonts w:ascii="Times New Roman" w:hAnsi="Times New Roman"/>
                <w:i/>
                <w:sz w:val="24"/>
                <w:szCs w:val="24"/>
                <w:lang w:val="es-CO"/>
              </w:rPr>
              <w:t>, O. (2002). Gerencia pública cataláctica: Romance sin política. México: McGraw-Hill.</w:t>
            </w:r>
          </w:p>
          <w:p w14:paraId="0CF234F2" w14:textId="31E8C839"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Guerrero</w:t>
            </w:r>
            <w:r w:rsidRPr="008324DA">
              <w:rPr>
                <w:rFonts w:ascii="Times New Roman" w:hAnsi="Times New Roman"/>
                <w:i/>
                <w:sz w:val="24"/>
                <w:szCs w:val="24"/>
                <w:lang w:val="es-CO"/>
              </w:rPr>
              <w:t xml:space="preserve">, O. (2009). El fin de la Nueva Gerencia Pública. </w:t>
            </w:r>
            <w:r w:rsidR="00FB7299" w:rsidRPr="008324DA">
              <w:rPr>
                <w:rFonts w:ascii="Times New Roman" w:hAnsi="Times New Roman"/>
                <w:i/>
                <w:sz w:val="24"/>
                <w:szCs w:val="24"/>
                <w:lang w:val="es-CO"/>
              </w:rPr>
              <w:t>Estado</w:t>
            </w:r>
            <w:r w:rsidRPr="008324DA">
              <w:rPr>
                <w:rFonts w:ascii="Times New Roman" w:hAnsi="Times New Roman"/>
                <w:i/>
                <w:sz w:val="24"/>
                <w:szCs w:val="24"/>
                <w:lang w:val="es-CO"/>
              </w:rPr>
              <w:t>, Gobierno, Gestión Pública. Revista Chilena de Administración Pública, 13 Junio.</w:t>
            </w:r>
          </w:p>
          <w:p w14:paraId="05441258" w14:textId="3CB38395"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Hajnal</w:t>
            </w:r>
            <w:r w:rsidRPr="008324DA">
              <w:rPr>
                <w:rFonts w:ascii="Times New Roman" w:hAnsi="Times New Roman"/>
                <w:i/>
                <w:sz w:val="24"/>
                <w:szCs w:val="24"/>
                <w:lang w:val="es-CO"/>
              </w:rPr>
              <w:t>, G., y Rosta, M. (2015). NPM and post-NPM in the view of European administrative elites: Towards understanding the relationship of public management reform doctrines. En. IRSPM Annual Conference, 24.</w:t>
            </w:r>
          </w:p>
          <w:p w14:paraId="7216D774" w14:textId="02A366B3"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Hood, C. (2011). Una gestión pública para todo momento?” En: Guillermo M. Cejudo (Comp.) La Nueva Gestión Pública. Siglo XXI Editores, 48.</w:t>
            </w:r>
          </w:p>
          <w:p w14:paraId="1A67743F" w14:textId="5A0DEF9F"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Ibarra</w:t>
            </w:r>
            <w:r w:rsidRPr="008324DA">
              <w:rPr>
                <w:rFonts w:ascii="Times New Roman" w:hAnsi="Times New Roman"/>
                <w:i/>
                <w:sz w:val="24"/>
                <w:szCs w:val="24"/>
                <w:lang w:val="es-CO"/>
              </w:rPr>
              <w:t>, P., Martí, S., &amp; Ricard Gomà (coordinateurs, (2002).</w:t>
            </w:r>
            <w:r w:rsidRPr="008324DA">
              <w:rPr>
                <w:rFonts w:ascii="Times New Roman" w:hAnsi="Times New Roman"/>
                <w:i/>
                <w:sz w:val="24"/>
                <w:szCs w:val="24"/>
                <w:lang w:val="es-CO"/>
              </w:rPr>
              <w:t xml:space="preserve"> </w:t>
            </w:r>
            <w:r w:rsidRPr="008324DA">
              <w:rPr>
                <w:rFonts w:ascii="Times New Roman" w:hAnsi="Times New Roman"/>
                <w:i/>
                <w:sz w:val="24"/>
                <w:szCs w:val="24"/>
                <w:lang w:val="es-CO"/>
              </w:rPr>
              <w:t>Creadores de democracia radical movimientos sociales y redes de políticas públicas. Barcelone: Icaria.</w:t>
            </w:r>
          </w:p>
          <w:p w14:paraId="63D1C427" w14:textId="64FAFFF7"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Lægreid</w:t>
            </w:r>
            <w:r w:rsidRPr="008324DA">
              <w:rPr>
                <w:rFonts w:ascii="Times New Roman" w:hAnsi="Times New Roman"/>
                <w:i/>
                <w:sz w:val="24"/>
                <w:szCs w:val="24"/>
                <w:lang w:val="es-CO"/>
              </w:rPr>
              <w:t>, b.T.C.a.P. (edited), (2007). Transcending new public management : The transformation of public sector reforms. Burlington, Vt: Ashgate.</w:t>
            </w:r>
          </w:p>
          <w:p w14:paraId="6AE24BC0" w14:textId="44FACF99"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Lawrence</w:t>
            </w:r>
            <w:r w:rsidRPr="008324DA">
              <w:rPr>
                <w:rFonts w:ascii="Times New Roman" w:hAnsi="Times New Roman"/>
                <w:i/>
                <w:sz w:val="24"/>
                <w:szCs w:val="24"/>
                <w:lang w:val="es-CO"/>
              </w:rPr>
              <w:t xml:space="preserve"> R J y Thompson F, (1999). Un modelo para la </w:t>
            </w:r>
            <w:r w:rsidR="00FB7299" w:rsidRPr="008324DA">
              <w:rPr>
                <w:rFonts w:ascii="Times New Roman" w:hAnsi="Times New Roman"/>
                <w:i/>
                <w:sz w:val="24"/>
                <w:szCs w:val="24"/>
                <w:lang w:val="es-CO"/>
              </w:rPr>
              <w:t>nueva</w:t>
            </w:r>
            <w:r w:rsidRPr="008324DA">
              <w:rPr>
                <w:rFonts w:ascii="Times New Roman" w:hAnsi="Times New Roman"/>
                <w:i/>
                <w:sz w:val="24"/>
                <w:szCs w:val="24"/>
                <w:lang w:val="es-CO"/>
              </w:rPr>
              <w:t xml:space="preserve"> gerencia pública: Lecciones de la reforma de los sectores público y privado. Revista del CLAD Reforma y Democracia. </w:t>
            </w:r>
          </w:p>
          <w:p w14:paraId="068101C6" w14:textId="5E8A6F96"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Martins</w:t>
            </w:r>
            <w:r w:rsidRPr="008324DA">
              <w:rPr>
                <w:rFonts w:ascii="Times New Roman" w:hAnsi="Times New Roman"/>
                <w:i/>
                <w:sz w:val="24"/>
                <w:szCs w:val="24"/>
                <w:lang w:val="es-CO"/>
              </w:rPr>
              <w:t xml:space="preserve">, H. F. (2010). Una guía de gobernanza para </w:t>
            </w:r>
            <w:r w:rsidR="00FB7299" w:rsidRPr="008324DA">
              <w:rPr>
                <w:rFonts w:ascii="Times New Roman" w:hAnsi="Times New Roman"/>
                <w:i/>
                <w:sz w:val="24"/>
                <w:szCs w:val="24"/>
                <w:lang w:val="es-CO"/>
              </w:rPr>
              <w:t>resultados</w:t>
            </w:r>
            <w:r w:rsidRPr="008324DA">
              <w:rPr>
                <w:rFonts w:ascii="Times New Roman" w:hAnsi="Times New Roman"/>
                <w:i/>
                <w:sz w:val="24"/>
                <w:szCs w:val="24"/>
                <w:lang w:val="es-CO"/>
              </w:rPr>
              <w:t xml:space="preserve"> en la administración pública. Publix Editora, 256.</w:t>
            </w:r>
          </w:p>
          <w:p w14:paraId="20EB4296" w14:textId="15E04D4F"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Meyer, J. W. (1979). The impact of the centralization of educational funding and control on </w:t>
            </w:r>
            <w:r w:rsidRPr="00FB7299">
              <w:rPr>
                <w:rFonts w:ascii="Times New Roman" w:hAnsi="Times New Roman"/>
                <w:sz w:val="24"/>
                <w:szCs w:val="24"/>
                <w:lang w:val="es-CO"/>
              </w:rPr>
              <w:t>state</w:t>
            </w:r>
            <w:r w:rsidRPr="008324DA">
              <w:rPr>
                <w:rFonts w:ascii="Times New Roman" w:hAnsi="Times New Roman"/>
                <w:i/>
                <w:sz w:val="24"/>
                <w:szCs w:val="24"/>
                <w:lang w:val="es-CO"/>
              </w:rPr>
              <w:t xml:space="preserve"> and local organizational governance. Stanford, CA: Institute for Research on Educational Finance and Governance, Stanford University, Program Report.</w:t>
            </w:r>
          </w:p>
          <w:p w14:paraId="793FE26C" w14:textId="63A51C21"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Moreno, C., &amp; J </w:t>
            </w:r>
            <w:r w:rsidR="00FB7299" w:rsidRPr="008324DA">
              <w:rPr>
                <w:rFonts w:ascii="Times New Roman" w:hAnsi="Times New Roman"/>
                <w:i/>
                <w:sz w:val="24"/>
                <w:szCs w:val="24"/>
                <w:lang w:val="es-CO"/>
              </w:rPr>
              <w:t>E.</w:t>
            </w:r>
            <w:r w:rsidRPr="008324DA">
              <w:rPr>
                <w:rFonts w:ascii="Times New Roman" w:hAnsi="Times New Roman"/>
                <w:i/>
                <w:sz w:val="24"/>
                <w:szCs w:val="24"/>
                <w:lang w:val="es-CO"/>
              </w:rPr>
              <w:t xml:space="preserve"> enero-junio de 2014). Modernización </w:t>
            </w:r>
            <w:r w:rsidR="00FB7299" w:rsidRPr="008324DA">
              <w:rPr>
                <w:rFonts w:ascii="Times New Roman" w:hAnsi="Times New Roman"/>
                <w:i/>
                <w:sz w:val="24"/>
                <w:szCs w:val="24"/>
                <w:lang w:val="es-CO"/>
              </w:rPr>
              <w:t>Administrativa</w:t>
            </w:r>
            <w:r w:rsidRPr="008324DA">
              <w:rPr>
                <w:rFonts w:ascii="Times New Roman" w:hAnsi="Times New Roman"/>
                <w:i/>
                <w:sz w:val="24"/>
                <w:szCs w:val="24"/>
                <w:lang w:val="es-CO"/>
              </w:rPr>
              <w:t xml:space="preserve"> y Post - Nueva </w:t>
            </w:r>
            <w:r w:rsidRPr="00FB7299">
              <w:rPr>
                <w:rFonts w:ascii="Times New Roman" w:hAnsi="Times New Roman"/>
                <w:sz w:val="24"/>
                <w:szCs w:val="24"/>
                <w:lang w:val="es-CO"/>
              </w:rPr>
              <w:t>Gestión</w:t>
            </w:r>
            <w:r w:rsidRPr="008324DA">
              <w:rPr>
                <w:rFonts w:ascii="Times New Roman" w:hAnsi="Times New Roman"/>
                <w:i/>
                <w:sz w:val="24"/>
                <w:szCs w:val="24"/>
                <w:lang w:val="es-CO"/>
              </w:rPr>
              <w:t xml:space="preserve"> Pública. De los </w:t>
            </w:r>
            <w:r w:rsidR="00FB7299" w:rsidRPr="008324DA">
              <w:rPr>
                <w:rFonts w:ascii="Times New Roman" w:hAnsi="Times New Roman"/>
                <w:i/>
                <w:sz w:val="24"/>
                <w:szCs w:val="24"/>
                <w:lang w:val="es-CO"/>
              </w:rPr>
              <w:t>dilemas</w:t>
            </w:r>
            <w:r w:rsidRPr="008324DA">
              <w:rPr>
                <w:rFonts w:ascii="Times New Roman" w:hAnsi="Times New Roman"/>
                <w:i/>
                <w:sz w:val="24"/>
                <w:szCs w:val="24"/>
                <w:lang w:val="es-CO"/>
              </w:rPr>
              <w:t xml:space="preserve"> y tensiones hacia las nuevas formas de </w:t>
            </w:r>
            <w:r w:rsidR="00FB7299" w:rsidRPr="008324DA">
              <w:rPr>
                <w:rFonts w:ascii="Times New Roman" w:hAnsi="Times New Roman"/>
                <w:i/>
                <w:sz w:val="24"/>
                <w:szCs w:val="24"/>
                <w:lang w:val="es-CO"/>
              </w:rPr>
              <w:t>coordinación</w:t>
            </w:r>
            <w:r w:rsidRPr="008324DA">
              <w:rPr>
                <w:rFonts w:ascii="Times New Roman" w:hAnsi="Times New Roman"/>
                <w:i/>
                <w:sz w:val="24"/>
                <w:szCs w:val="24"/>
                <w:lang w:val="es-CO"/>
              </w:rPr>
              <w:t xml:space="preserve"> y regulación. Revista Mexicana de Análisis Político y Administración Pública. III, 1, 53-74.</w:t>
            </w:r>
          </w:p>
          <w:p w14:paraId="4394AC5E" w14:textId="2F2BD798"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Moreno, C., y J E, (2008). Transferencia de políticas y </w:t>
            </w:r>
            <w:r w:rsidR="00FB7299" w:rsidRPr="008324DA">
              <w:rPr>
                <w:rFonts w:ascii="Times New Roman" w:hAnsi="Times New Roman"/>
                <w:i/>
                <w:sz w:val="24"/>
                <w:szCs w:val="24"/>
                <w:lang w:val="es-CO"/>
              </w:rPr>
              <w:t>construcción</w:t>
            </w:r>
            <w:r w:rsidRPr="008324DA">
              <w:rPr>
                <w:rFonts w:ascii="Times New Roman" w:hAnsi="Times New Roman"/>
                <w:i/>
                <w:sz w:val="24"/>
                <w:szCs w:val="24"/>
                <w:lang w:val="es-CO"/>
              </w:rPr>
              <w:t xml:space="preserve"> de lecciones para la </w:t>
            </w:r>
            <w:r w:rsidRPr="00FB7299">
              <w:rPr>
                <w:rFonts w:ascii="Times New Roman" w:hAnsi="Times New Roman"/>
                <w:sz w:val="24"/>
                <w:szCs w:val="24"/>
                <w:lang w:val="es-CO"/>
              </w:rPr>
              <w:t>modernización</w:t>
            </w:r>
            <w:r w:rsidRPr="008324DA">
              <w:rPr>
                <w:rFonts w:ascii="Times New Roman" w:hAnsi="Times New Roman"/>
                <w:i/>
                <w:sz w:val="24"/>
                <w:szCs w:val="24"/>
                <w:lang w:val="es-CO"/>
              </w:rPr>
              <w:t xml:space="preserve"> administrativa. Revista Venezolana de Gerencia, 12(44), 531-542.</w:t>
            </w:r>
          </w:p>
          <w:p w14:paraId="59D28270" w14:textId="0E718506"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Mussari, R. (2010). After NPM: ¿What’s Next? Studying reforms, Experiments and Change in </w:t>
            </w:r>
            <w:r w:rsidRPr="00FB7299">
              <w:rPr>
                <w:rFonts w:ascii="Times New Roman" w:hAnsi="Times New Roman"/>
                <w:sz w:val="24"/>
                <w:szCs w:val="24"/>
                <w:lang w:val="es-CO"/>
              </w:rPr>
              <w:t>Local</w:t>
            </w:r>
            <w:r w:rsidRPr="008324DA">
              <w:rPr>
                <w:rFonts w:ascii="Times New Roman" w:hAnsi="Times New Roman"/>
                <w:i/>
                <w:sz w:val="24"/>
                <w:szCs w:val="24"/>
                <w:lang w:val="es-CO"/>
              </w:rPr>
              <w:t xml:space="preserve"> Democracy and Local Public Sector reforms in Europe: Theories, Methods and Trends. Siena, Italy: Department of Business and Law, University of Siena.</w:t>
            </w:r>
          </w:p>
          <w:p w14:paraId="1FCAF797" w14:textId="21FB3118"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Nickson</w:t>
            </w:r>
            <w:r w:rsidRPr="008324DA">
              <w:rPr>
                <w:rFonts w:ascii="Times New Roman" w:hAnsi="Times New Roman"/>
                <w:i/>
                <w:sz w:val="24"/>
                <w:szCs w:val="24"/>
                <w:lang w:val="es-CO"/>
              </w:rPr>
              <w:t>, A. (2002). Transferencia de Políticas y Reforma en la Gestión del Sector Público en América Latina: El caso del New Public Management. Reforma y Democracia. Revista del CLAD, 24, 113-142.</w:t>
            </w:r>
          </w:p>
          <w:p w14:paraId="4F208A67" w14:textId="72AAEAB6"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Obama, B. (2009). Los sueños de mi padre. Una historia de raza y herencia. </w:t>
            </w:r>
            <w:r w:rsidR="00FB7299" w:rsidRPr="008324DA">
              <w:rPr>
                <w:rFonts w:ascii="Times New Roman" w:hAnsi="Times New Roman"/>
                <w:i/>
                <w:sz w:val="24"/>
                <w:szCs w:val="24"/>
                <w:lang w:val="es-CO"/>
              </w:rPr>
              <w:t>Bogotá:</w:t>
            </w:r>
            <w:r w:rsidRPr="008324DA">
              <w:rPr>
                <w:rFonts w:ascii="Times New Roman" w:hAnsi="Times New Roman"/>
                <w:i/>
                <w:sz w:val="24"/>
                <w:szCs w:val="24"/>
                <w:lang w:val="es-CO"/>
              </w:rPr>
              <w:t xml:space="preserve"> </w:t>
            </w:r>
            <w:r w:rsidRPr="00FB7299">
              <w:rPr>
                <w:rFonts w:ascii="Times New Roman" w:hAnsi="Times New Roman"/>
                <w:sz w:val="24"/>
                <w:szCs w:val="24"/>
                <w:lang w:val="es-CO"/>
              </w:rPr>
              <w:t>Editorial</w:t>
            </w:r>
            <w:r w:rsidRPr="008324DA">
              <w:rPr>
                <w:rFonts w:ascii="Times New Roman" w:hAnsi="Times New Roman"/>
                <w:i/>
                <w:sz w:val="24"/>
                <w:szCs w:val="24"/>
                <w:lang w:val="es-CO"/>
              </w:rPr>
              <w:t xml:space="preserve"> Debate. </w:t>
            </w:r>
          </w:p>
          <w:p w14:paraId="6055F331" w14:textId="57AD4FA6" w:rsidR="008324DA" w:rsidRPr="00FB7299" w:rsidRDefault="008324DA" w:rsidP="006E7EBC">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lastRenderedPageBreak/>
              <w:t>Oszlak</w:t>
            </w:r>
            <w:r w:rsidRPr="00FB7299">
              <w:rPr>
                <w:rFonts w:ascii="Times New Roman" w:hAnsi="Times New Roman"/>
                <w:i/>
                <w:sz w:val="24"/>
                <w:szCs w:val="24"/>
                <w:lang w:val="es-CO"/>
              </w:rPr>
              <w:t xml:space="preserve">, O. (2013). La Gestión Pública Post - NGP en América Latina: Balance y Desafíos Pendientes. IX Conferencia de la INPAE: «Enseñanza y Pedagogía de la Gestión de </w:t>
            </w:r>
            <w:r w:rsidRPr="00FB7299">
              <w:rPr>
                <w:rFonts w:ascii="Times New Roman" w:hAnsi="Times New Roman"/>
                <w:sz w:val="24"/>
                <w:szCs w:val="24"/>
                <w:lang w:val="es-CO"/>
              </w:rPr>
              <w:t>Políticas</w:t>
            </w:r>
            <w:r w:rsidRPr="00FB7299">
              <w:rPr>
                <w:rFonts w:ascii="Times New Roman" w:hAnsi="Times New Roman"/>
                <w:i/>
                <w:sz w:val="24"/>
                <w:szCs w:val="24"/>
                <w:lang w:val="es-CO"/>
              </w:rPr>
              <w:t xml:space="preserve"> Públicas: Desafíos y Actualidad para un Nuevo Servicio Público, 11.</w:t>
            </w:r>
          </w:p>
          <w:p w14:paraId="59AECEB1" w14:textId="2463E809"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Papadopoulos</w:t>
            </w:r>
            <w:r w:rsidRPr="008324DA">
              <w:rPr>
                <w:rFonts w:ascii="Times New Roman" w:hAnsi="Times New Roman"/>
                <w:i/>
                <w:sz w:val="24"/>
                <w:szCs w:val="24"/>
                <w:lang w:val="es-CO"/>
              </w:rPr>
              <w:t>, Y. (2008). Assessing the claims of `Post-parliamentary’ governance. Few certainties, much more open questions. En. New York: Routledge.</w:t>
            </w:r>
          </w:p>
          <w:p w14:paraId="719D2B39" w14:textId="6998C253"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Pérez</w:t>
            </w:r>
            <w:r w:rsidRPr="008324DA">
              <w:rPr>
                <w:rFonts w:ascii="Times New Roman" w:hAnsi="Times New Roman"/>
                <w:i/>
                <w:sz w:val="24"/>
                <w:szCs w:val="24"/>
                <w:lang w:val="es-CO"/>
              </w:rPr>
              <w:t xml:space="preserve">, G., Ortiz, D., Zafra, J. L., y Alcaide, L. (2011). De la New Public Management a la Post New Public Management, evolución de las reformas en la gestión de las </w:t>
            </w:r>
            <w:r w:rsidR="00FB7299" w:rsidRPr="008324DA">
              <w:rPr>
                <w:rFonts w:ascii="Times New Roman" w:hAnsi="Times New Roman"/>
                <w:i/>
                <w:sz w:val="24"/>
                <w:szCs w:val="24"/>
                <w:lang w:val="es-CO"/>
              </w:rPr>
              <w:t>administraciones</w:t>
            </w:r>
            <w:r w:rsidRPr="008324DA">
              <w:rPr>
                <w:rFonts w:ascii="Times New Roman" w:hAnsi="Times New Roman"/>
                <w:i/>
                <w:sz w:val="24"/>
                <w:szCs w:val="24"/>
                <w:lang w:val="es-CO"/>
              </w:rPr>
              <w:t xml:space="preserve"> públicas españolas. Revista de Contabilidad y Dirección, 13, 129-150.</w:t>
            </w:r>
          </w:p>
          <w:p w14:paraId="359027BD" w14:textId="598F63E4"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Pollitt</w:t>
            </w:r>
            <w:r w:rsidRPr="008324DA">
              <w:rPr>
                <w:rFonts w:ascii="Times New Roman" w:hAnsi="Times New Roman"/>
                <w:i/>
                <w:sz w:val="24"/>
                <w:szCs w:val="24"/>
                <w:lang w:val="es-CO"/>
              </w:rPr>
              <w:t xml:space="preserve">, C. (2011). Justificación por las Obras o por la Fe? </w:t>
            </w:r>
            <w:r w:rsidR="00FB7299" w:rsidRPr="008324DA">
              <w:rPr>
                <w:rFonts w:ascii="Times New Roman" w:hAnsi="Times New Roman"/>
                <w:i/>
                <w:sz w:val="24"/>
                <w:szCs w:val="24"/>
                <w:lang w:val="es-CO"/>
              </w:rPr>
              <w:t>Evaluando</w:t>
            </w:r>
            <w:r w:rsidRPr="008324DA">
              <w:rPr>
                <w:rFonts w:ascii="Times New Roman" w:hAnsi="Times New Roman"/>
                <w:i/>
                <w:sz w:val="24"/>
                <w:szCs w:val="24"/>
                <w:lang w:val="es-CO"/>
              </w:rPr>
              <w:t xml:space="preserve"> la Nueva Gestión Pública. En: Guillermo M. </w:t>
            </w:r>
            <w:r w:rsidR="00FB7299" w:rsidRPr="008324DA">
              <w:rPr>
                <w:rFonts w:ascii="Times New Roman" w:hAnsi="Times New Roman"/>
                <w:i/>
                <w:sz w:val="24"/>
                <w:szCs w:val="24"/>
                <w:lang w:val="es-CO"/>
              </w:rPr>
              <w:t>Cejudo</w:t>
            </w:r>
            <w:r w:rsidRPr="008324DA">
              <w:rPr>
                <w:rFonts w:ascii="Times New Roman" w:hAnsi="Times New Roman"/>
                <w:i/>
                <w:sz w:val="24"/>
                <w:szCs w:val="24"/>
                <w:lang w:val="es-CO"/>
              </w:rPr>
              <w:t xml:space="preserve"> (Comp.) La Nueva Gestión Pública. Siglo XXI Editores.</w:t>
            </w:r>
          </w:p>
          <w:p w14:paraId="76AED333" w14:textId="570D31B6"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Riascos</w:t>
            </w:r>
            <w:r w:rsidRPr="008324DA">
              <w:rPr>
                <w:rFonts w:ascii="Times New Roman" w:hAnsi="Times New Roman"/>
                <w:i/>
                <w:sz w:val="24"/>
                <w:szCs w:val="24"/>
                <w:lang w:val="es-CO"/>
              </w:rPr>
              <w:t xml:space="preserve"> A. Eliana, (2010). El Análisis multicriterio en la gestión</w:t>
            </w:r>
            <w:r w:rsidRPr="008324DA">
              <w:rPr>
                <w:rFonts w:ascii="Times New Roman" w:hAnsi="Times New Roman"/>
                <w:i/>
                <w:sz w:val="24"/>
                <w:szCs w:val="24"/>
                <w:lang w:val="es-CO"/>
              </w:rPr>
              <w:t xml:space="preserve"> </w:t>
            </w:r>
            <w:r w:rsidRPr="008324DA">
              <w:rPr>
                <w:rFonts w:ascii="Times New Roman" w:hAnsi="Times New Roman"/>
                <w:i/>
                <w:sz w:val="24"/>
                <w:szCs w:val="24"/>
                <w:lang w:val="es-CO"/>
              </w:rPr>
              <w:t>de la Biodiversidad. Medellín: Universidad Nacional de Colombia.</w:t>
            </w:r>
          </w:p>
          <w:p w14:paraId="2E30CC18" w14:textId="57A6B260"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Rincón</w:t>
            </w:r>
            <w:r w:rsidRPr="008324DA">
              <w:rPr>
                <w:rFonts w:ascii="Times New Roman" w:hAnsi="Times New Roman"/>
                <w:i/>
                <w:sz w:val="24"/>
                <w:szCs w:val="24"/>
                <w:lang w:val="es-CO"/>
              </w:rPr>
              <w:t xml:space="preserve"> Pachón, J, (2011). Análisis epistemológico de la </w:t>
            </w:r>
            <w:r w:rsidR="00FB7299" w:rsidRPr="008324DA">
              <w:rPr>
                <w:rFonts w:ascii="Times New Roman" w:hAnsi="Times New Roman"/>
                <w:i/>
                <w:sz w:val="24"/>
                <w:szCs w:val="24"/>
                <w:lang w:val="es-CO"/>
              </w:rPr>
              <w:t>Administración</w:t>
            </w:r>
            <w:r w:rsidRPr="008324DA">
              <w:rPr>
                <w:rFonts w:ascii="Times New Roman" w:hAnsi="Times New Roman"/>
                <w:i/>
                <w:sz w:val="24"/>
                <w:szCs w:val="24"/>
                <w:lang w:val="es-CO"/>
              </w:rPr>
              <w:t xml:space="preserve"> Pública, la gerencia y la gestión pública y la gerencia social. Bogotá: Digiprint Editores. E.U.</w:t>
            </w:r>
          </w:p>
          <w:p w14:paraId="6063F093" w14:textId="278FFB35"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Van_Gestel, N., y Teelken, C. (2004). Servicios de educación </w:t>
            </w:r>
            <w:r w:rsidR="00FB7299" w:rsidRPr="008324DA">
              <w:rPr>
                <w:rFonts w:ascii="Times New Roman" w:hAnsi="Times New Roman"/>
                <w:i/>
                <w:sz w:val="24"/>
                <w:szCs w:val="24"/>
                <w:lang w:val="es-CO"/>
              </w:rPr>
              <w:t>superior</w:t>
            </w:r>
            <w:r w:rsidRPr="008324DA">
              <w:rPr>
                <w:rFonts w:ascii="Times New Roman" w:hAnsi="Times New Roman"/>
                <w:i/>
                <w:sz w:val="24"/>
                <w:szCs w:val="24"/>
                <w:lang w:val="es-CO"/>
              </w:rPr>
              <w:t xml:space="preserve"> y de seguridad social en </w:t>
            </w:r>
            <w:r w:rsidRPr="00FB7299">
              <w:rPr>
                <w:rFonts w:ascii="Times New Roman" w:hAnsi="Times New Roman"/>
                <w:sz w:val="24"/>
                <w:szCs w:val="24"/>
                <w:lang w:val="es-CO"/>
              </w:rPr>
              <w:t>los</w:t>
            </w:r>
            <w:r w:rsidRPr="008324DA">
              <w:rPr>
                <w:rFonts w:ascii="Times New Roman" w:hAnsi="Times New Roman"/>
                <w:i/>
                <w:sz w:val="24"/>
                <w:szCs w:val="24"/>
                <w:lang w:val="es-CO"/>
              </w:rPr>
              <w:t xml:space="preserve"> Países Bajos: </w:t>
            </w:r>
            <w:r w:rsidR="00FB7299" w:rsidRPr="008324DA">
              <w:rPr>
                <w:rFonts w:ascii="Times New Roman" w:hAnsi="Times New Roman"/>
                <w:i/>
                <w:sz w:val="24"/>
                <w:szCs w:val="24"/>
                <w:lang w:val="es-CO"/>
              </w:rPr>
              <w:t>institucionalismo</w:t>
            </w:r>
            <w:r w:rsidRPr="008324DA">
              <w:rPr>
                <w:rFonts w:ascii="Times New Roman" w:hAnsi="Times New Roman"/>
                <w:i/>
                <w:sz w:val="24"/>
                <w:szCs w:val="24"/>
                <w:lang w:val="es-CO"/>
              </w:rPr>
              <w:t xml:space="preserve"> y nueva gestión política. Gestión y Política Pública. XIII, 2, 427-467.</w:t>
            </w:r>
          </w:p>
          <w:p w14:paraId="2D31D420" w14:textId="6B4D1019"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 xml:space="preserve">Varas, P., y C H, (2012). Dilemas teóricos post nueva gestión pública como parte de una </w:t>
            </w:r>
            <w:r w:rsidRPr="00FB7299">
              <w:rPr>
                <w:rFonts w:ascii="Times New Roman" w:hAnsi="Times New Roman"/>
                <w:sz w:val="24"/>
                <w:szCs w:val="24"/>
                <w:lang w:val="es-CO"/>
              </w:rPr>
              <w:t>revisión</w:t>
            </w:r>
            <w:r w:rsidRPr="008324DA">
              <w:rPr>
                <w:rFonts w:ascii="Times New Roman" w:hAnsi="Times New Roman"/>
                <w:i/>
                <w:sz w:val="24"/>
                <w:szCs w:val="24"/>
                <w:lang w:val="es-CO"/>
              </w:rPr>
              <w:t xml:space="preserve"> de la </w:t>
            </w:r>
            <w:r w:rsidR="00FB7299" w:rsidRPr="008324DA">
              <w:rPr>
                <w:rFonts w:ascii="Times New Roman" w:hAnsi="Times New Roman"/>
                <w:i/>
                <w:sz w:val="24"/>
                <w:szCs w:val="24"/>
                <w:lang w:val="es-CO"/>
              </w:rPr>
              <w:t>administración</w:t>
            </w:r>
            <w:r w:rsidRPr="008324DA">
              <w:rPr>
                <w:rFonts w:ascii="Times New Roman" w:hAnsi="Times New Roman"/>
                <w:i/>
                <w:sz w:val="24"/>
                <w:szCs w:val="24"/>
                <w:lang w:val="es-CO"/>
              </w:rPr>
              <w:t xml:space="preserve"> pública para América Latina: reflexiones a partir del eterno problema de la corrupción. En XVII Congreso Internacional del CLAD sobre la Reforma del Estado y de la Administración Pública, 2.</w:t>
            </w:r>
          </w:p>
          <w:p w14:paraId="7A1A4205" w14:textId="086DE075" w:rsidR="008324DA" w:rsidRPr="008324DA" w:rsidRDefault="008324DA" w:rsidP="00FB7299">
            <w:pPr>
              <w:pStyle w:val="Prrafodelista"/>
              <w:numPr>
                <w:ilvl w:val="0"/>
                <w:numId w:val="26"/>
              </w:numPr>
              <w:ind w:left="311"/>
              <w:rPr>
                <w:rFonts w:ascii="Times New Roman" w:hAnsi="Times New Roman"/>
                <w:i/>
                <w:sz w:val="24"/>
                <w:szCs w:val="24"/>
                <w:lang w:val="es-CO"/>
              </w:rPr>
            </w:pPr>
            <w:r w:rsidRPr="008324DA">
              <w:rPr>
                <w:rFonts w:ascii="Times New Roman" w:hAnsi="Times New Roman"/>
                <w:i/>
                <w:sz w:val="24"/>
                <w:szCs w:val="24"/>
                <w:lang w:val="es-CO"/>
              </w:rPr>
              <w:t>Vlk, B. (2011). Post-new public management under the Obama administration: an early snapshot. The Michigan Journal of Public Affairs, 8.</w:t>
            </w:r>
          </w:p>
          <w:p w14:paraId="775A60BE" w14:textId="6FDEBC5F" w:rsidR="008324DA" w:rsidRPr="008324DA"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Yáñez</w:t>
            </w:r>
            <w:r w:rsidRPr="008324DA">
              <w:rPr>
                <w:rFonts w:ascii="Times New Roman" w:hAnsi="Times New Roman"/>
                <w:i/>
                <w:sz w:val="24"/>
                <w:szCs w:val="24"/>
                <w:lang w:val="es-CO"/>
              </w:rPr>
              <w:t>, H., y J F, (2009). Administración y gestión del sistema sanitario público. El marco institucional (apuntes. Revista Administración Sanitaria, 7(1), 99-112.</w:t>
            </w:r>
          </w:p>
          <w:p w14:paraId="79D9010F" w14:textId="348F1328" w:rsidR="008324DA" w:rsidRPr="003E2B1E" w:rsidRDefault="008324DA" w:rsidP="00FB7299">
            <w:pPr>
              <w:pStyle w:val="Prrafodelista"/>
              <w:numPr>
                <w:ilvl w:val="0"/>
                <w:numId w:val="26"/>
              </w:numPr>
              <w:ind w:left="311"/>
              <w:rPr>
                <w:rFonts w:ascii="Times New Roman" w:hAnsi="Times New Roman"/>
                <w:i/>
                <w:sz w:val="24"/>
                <w:szCs w:val="24"/>
                <w:lang w:val="es-CO"/>
              </w:rPr>
            </w:pPr>
            <w:r w:rsidRPr="00FB7299">
              <w:rPr>
                <w:rFonts w:ascii="Times New Roman" w:hAnsi="Times New Roman"/>
                <w:sz w:val="24"/>
                <w:szCs w:val="24"/>
                <w:lang w:val="es-CO"/>
              </w:rPr>
              <w:t>Zeller</w:t>
            </w:r>
            <w:r w:rsidRPr="008324DA">
              <w:rPr>
                <w:rFonts w:ascii="Times New Roman" w:hAnsi="Times New Roman"/>
                <w:i/>
                <w:sz w:val="24"/>
                <w:szCs w:val="24"/>
                <w:lang w:val="es-CO"/>
              </w:rPr>
              <w:t>, S. (2009). Performance Anxiety for ‘New’ Federal Standards. CQ Weekly. March, 30.</w:t>
            </w:r>
          </w:p>
        </w:tc>
      </w:tr>
      <w:tr w:rsidR="00EB0ACF" w:rsidRPr="003E2B1E" w14:paraId="53DAA041" w14:textId="77777777" w:rsidTr="3F51EF3A">
        <w:tc>
          <w:tcPr>
            <w:tcW w:w="9923" w:type="dxa"/>
          </w:tcPr>
          <w:p w14:paraId="0DDC349A" w14:textId="0EA3F24C" w:rsidR="00EB0ACF" w:rsidRPr="003E2B1E" w:rsidRDefault="00967950" w:rsidP="000A4AAA">
            <w:pPr>
              <w:spacing w:after="0"/>
              <w:rPr>
                <w:rFonts w:ascii="Times New Roman" w:hAnsi="Times New Roman"/>
                <w:b/>
                <w:sz w:val="24"/>
                <w:szCs w:val="24"/>
                <w:lang w:val="es-CO"/>
              </w:rPr>
            </w:pPr>
            <w:r w:rsidRPr="003E2B1E">
              <w:rPr>
                <w:rFonts w:ascii="Times New Roman" w:hAnsi="Times New Roman"/>
                <w:b/>
                <w:sz w:val="24"/>
                <w:szCs w:val="24"/>
                <w:lang w:val="es-CO"/>
              </w:rPr>
              <w:lastRenderedPageBreak/>
              <w:t>2. Componente Metodológico</w:t>
            </w:r>
          </w:p>
        </w:tc>
      </w:tr>
      <w:tr w:rsidR="00967950" w:rsidRPr="003E2B1E" w14:paraId="4480EC14" w14:textId="77777777" w:rsidTr="3F51EF3A">
        <w:tc>
          <w:tcPr>
            <w:tcW w:w="9923" w:type="dxa"/>
          </w:tcPr>
          <w:p w14:paraId="1EFBFF61" w14:textId="3145669F" w:rsidR="00967950" w:rsidRPr="003E2B1E" w:rsidRDefault="003E2B1E" w:rsidP="000A4AAA">
            <w:pPr>
              <w:spacing w:after="0"/>
              <w:rPr>
                <w:rFonts w:ascii="Times New Roman" w:hAnsi="Times New Roman"/>
                <w:b/>
                <w:sz w:val="24"/>
                <w:szCs w:val="24"/>
                <w:lang w:val="es-CO"/>
              </w:rPr>
            </w:pPr>
            <w:r w:rsidRPr="003E2B1E">
              <w:rPr>
                <w:rFonts w:ascii="Times New Roman" w:hAnsi="Times New Roman"/>
                <w:b/>
                <w:sz w:val="24"/>
                <w:szCs w:val="24"/>
                <w:lang w:val="es-CO"/>
              </w:rPr>
              <w:t>2.1 Estructura</w:t>
            </w:r>
            <w:r w:rsidR="00967950" w:rsidRPr="003E2B1E">
              <w:rPr>
                <w:rFonts w:ascii="Times New Roman" w:hAnsi="Times New Roman"/>
                <w:b/>
                <w:sz w:val="24"/>
                <w:szCs w:val="24"/>
                <w:lang w:val="es-CO"/>
              </w:rPr>
              <w:t xml:space="preserve"> del texto (introducción, sección teórica, sección de contexto</w:t>
            </w:r>
          </w:p>
        </w:tc>
      </w:tr>
      <w:tr w:rsidR="00EB0ACF" w:rsidRPr="003E2B1E" w14:paraId="3DF8467F" w14:textId="77777777" w:rsidTr="3F51EF3A">
        <w:tc>
          <w:tcPr>
            <w:tcW w:w="9923" w:type="dxa"/>
          </w:tcPr>
          <w:p w14:paraId="72621337" w14:textId="77777777" w:rsidR="00510C20" w:rsidRPr="00510C20" w:rsidRDefault="00510C20" w:rsidP="00510C20">
            <w:pPr>
              <w:pStyle w:val="Prrafodelista"/>
              <w:numPr>
                <w:ilvl w:val="0"/>
                <w:numId w:val="26"/>
              </w:numPr>
              <w:ind w:left="311"/>
              <w:rPr>
                <w:rFonts w:ascii="Times New Roman" w:hAnsi="Times New Roman"/>
                <w:sz w:val="24"/>
                <w:szCs w:val="24"/>
                <w:lang w:val="es-CO"/>
              </w:rPr>
            </w:pPr>
            <w:r w:rsidRPr="00510C20">
              <w:rPr>
                <w:rFonts w:ascii="Times New Roman" w:hAnsi="Times New Roman"/>
                <w:b/>
                <w:bCs/>
                <w:sz w:val="24"/>
                <w:szCs w:val="24"/>
                <w:lang w:val="es-CO"/>
              </w:rPr>
              <w:t>Introducción</w:t>
            </w:r>
            <w:r w:rsidRPr="00510C20">
              <w:rPr>
                <w:rFonts w:ascii="Times New Roman" w:hAnsi="Times New Roman"/>
                <w:sz w:val="24"/>
                <w:szCs w:val="24"/>
                <w:lang w:val="es-CO"/>
              </w:rPr>
              <w:t>: Los autores presentan el objetivo del artículo, que es analizar la posnueva gestión pública como una propuesta emergente que busca superar las limitaciones de la nueva gestión pública y el neoinstitucionalismo. También explican el método utilizado, que consiste en una revisión bibliográfica y documental, y la estructura del texto.</w:t>
            </w:r>
          </w:p>
          <w:p w14:paraId="10A89398" w14:textId="77777777" w:rsidR="00510C20" w:rsidRDefault="00510C20" w:rsidP="00510C20">
            <w:pPr>
              <w:pStyle w:val="Prrafodelista"/>
              <w:numPr>
                <w:ilvl w:val="0"/>
                <w:numId w:val="26"/>
              </w:numPr>
              <w:ind w:left="311"/>
              <w:rPr>
                <w:rFonts w:ascii="Times New Roman" w:hAnsi="Times New Roman"/>
                <w:sz w:val="24"/>
                <w:szCs w:val="24"/>
                <w:lang w:val="es-CO"/>
              </w:rPr>
            </w:pPr>
            <w:r w:rsidRPr="00510C20">
              <w:rPr>
                <w:rFonts w:ascii="Times New Roman" w:hAnsi="Times New Roman"/>
                <w:b/>
                <w:bCs/>
                <w:sz w:val="24"/>
                <w:szCs w:val="24"/>
                <w:lang w:val="es-CO"/>
              </w:rPr>
              <w:t>Desarrollo</w:t>
            </w:r>
            <w:r w:rsidRPr="00510C20">
              <w:rPr>
                <w:rFonts w:ascii="Times New Roman" w:hAnsi="Times New Roman"/>
                <w:sz w:val="24"/>
                <w:szCs w:val="24"/>
                <w:lang w:val="es-CO"/>
              </w:rPr>
              <w:t xml:space="preserve">: El texto se divide en cuatro secciones. </w:t>
            </w:r>
          </w:p>
          <w:p w14:paraId="702345AE" w14:textId="77777777" w:rsidR="00510C20" w:rsidRDefault="00510C20" w:rsidP="00510C20">
            <w:pPr>
              <w:pStyle w:val="Prrafodelista"/>
              <w:numPr>
                <w:ilvl w:val="1"/>
                <w:numId w:val="26"/>
              </w:numPr>
              <w:ind w:left="594"/>
              <w:rPr>
                <w:rFonts w:ascii="Times New Roman" w:hAnsi="Times New Roman"/>
                <w:sz w:val="24"/>
                <w:szCs w:val="24"/>
                <w:lang w:val="es-CO"/>
              </w:rPr>
            </w:pPr>
            <w:r w:rsidRPr="00510C20">
              <w:rPr>
                <w:rFonts w:ascii="Times New Roman" w:hAnsi="Times New Roman"/>
                <w:sz w:val="24"/>
                <w:szCs w:val="24"/>
                <w:lang w:val="es-CO"/>
              </w:rPr>
              <w:t xml:space="preserve">La primera sección describe el contexto histórico y político de las reformas administrativas en América Latina desde los años ochenta hasta la actualidad. </w:t>
            </w:r>
          </w:p>
          <w:p w14:paraId="535BA3EE" w14:textId="77777777" w:rsidR="00510C20" w:rsidRDefault="00510C20" w:rsidP="00510C20">
            <w:pPr>
              <w:pStyle w:val="Prrafodelista"/>
              <w:numPr>
                <w:ilvl w:val="1"/>
                <w:numId w:val="26"/>
              </w:numPr>
              <w:ind w:left="594"/>
              <w:rPr>
                <w:rFonts w:ascii="Times New Roman" w:hAnsi="Times New Roman"/>
                <w:sz w:val="24"/>
                <w:szCs w:val="24"/>
                <w:lang w:val="es-CO"/>
              </w:rPr>
            </w:pPr>
            <w:r w:rsidRPr="00510C20">
              <w:rPr>
                <w:rFonts w:ascii="Times New Roman" w:hAnsi="Times New Roman"/>
                <w:sz w:val="24"/>
                <w:szCs w:val="24"/>
                <w:lang w:val="es-CO"/>
              </w:rPr>
              <w:t xml:space="preserve">La segunda sección expone los principales conceptos y características de la nueva gestión pública y el neoinstitucionalismo, así como sus críticas y desafíos. </w:t>
            </w:r>
          </w:p>
          <w:p w14:paraId="6783202B" w14:textId="77777777" w:rsidR="00510C20" w:rsidRDefault="00510C20" w:rsidP="00510C20">
            <w:pPr>
              <w:pStyle w:val="Prrafodelista"/>
              <w:numPr>
                <w:ilvl w:val="1"/>
                <w:numId w:val="26"/>
              </w:numPr>
              <w:ind w:left="594"/>
              <w:rPr>
                <w:rFonts w:ascii="Times New Roman" w:hAnsi="Times New Roman"/>
                <w:sz w:val="24"/>
                <w:szCs w:val="24"/>
                <w:lang w:val="es-CO"/>
              </w:rPr>
            </w:pPr>
            <w:r w:rsidRPr="00510C20">
              <w:rPr>
                <w:rFonts w:ascii="Times New Roman" w:hAnsi="Times New Roman"/>
                <w:sz w:val="24"/>
                <w:szCs w:val="24"/>
                <w:lang w:val="es-CO"/>
              </w:rPr>
              <w:t xml:space="preserve">La tercera sección presenta la posnueva gestión pública como una alternativa que incorpora elementos de la gobernabilidad democrática, la participación ciudadana, la transparencia y la rendición de cuentas. </w:t>
            </w:r>
          </w:p>
          <w:p w14:paraId="378808DC" w14:textId="7DACC15E" w:rsidR="00510C20" w:rsidRPr="00510C20" w:rsidRDefault="00510C20" w:rsidP="00510C20">
            <w:pPr>
              <w:pStyle w:val="Prrafodelista"/>
              <w:numPr>
                <w:ilvl w:val="1"/>
                <w:numId w:val="26"/>
              </w:numPr>
              <w:ind w:left="594"/>
              <w:rPr>
                <w:rFonts w:ascii="Times New Roman" w:hAnsi="Times New Roman"/>
                <w:sz w:val="24"/>
                <w:szCs w:val="24"/>
                <w:lang w:val="es-CO"/>
              </w:rPr>
            </w:pPr>
            <w:r w:rsidRPr="00510C20">
              <w:rPr>
                <w:rFonts w:ascii="Times New Roman" w:hAnsi="Times New Roman"/>
                <w:sz w:val="24"/>
                <w:szCs w:val="24"/>
                <w:lang w:val="es-CO"/>
              </w:rPr>
              <w:t>La cuarta sección analiza algunos casos de aplicación de la posnueva gestión pública en países como Brasil, Chile, Colombia y México.</w:t>
            </w:r>
          </w:p>
          <w:p w14:paraId="6454CC4F" w14:textId="298AF497" w:rsidR="001566D0" w:rsidRPr="00510C20" w:rsidRDefault="00510C20" w:rsidP="00385C67">
            <w:pPr>
              <w:pStyle w:val="Prrafodelista"/>
              <w:numPr>
                <w:ilvl w:val="0"/>
                <w:numId w:val="26"/>
              </w:numPr>
              <w:spacing w:after="0"/>
              <w:ind w:left="311"/>
              <w:jc w:val="both"/>
              <w:rPr>
                <w:rFonts w:ascii="Times New Roman" w:hAnsi="Times New Roman"/>
                <w:sz w:val="24"/>
                <w:szCs w:val="24"/>
                <w:lang w:val="es-CO"/>
              </w:rPr>
            </w:pPr>
            <w:r w:rsidRPr="00510C20">
              <w:rPr>
                <w:rFonts w:ascii="Times New Roman" w:hAnsi="Times New Roman"/>
                <w:b/>
                <w:bCs/>
                <w:sz w:val="24"/>
                <w:szCs w:val="24"/>
                <w:lang w:val="es-CO"/>
              </w:rPr>
              <w:lastRenderedPageBreak/>
              <w:t>Conclusión</w:t>
            </w:r>
            <w:r w:rsidRPr="00510C20">
              <w:rPr>
                <w:rFonts w:ascii="Times New Roman" w:hAnsi="Times New Roman"/>
                <w:sz w:val="24"/>
                <w:szCs w:val="24"/>
                <w:lang w:val="es-CO"/>
              </w:rPr>
              <w:t>: Los autores sintetizan los hallazgos del artículo y plantean algunas reflexiones sobre las implicaciones y los retos de la posnueva gestión pública para el fortalecimiento de la administración pública y el desarrollo social en América Latina.</w:t>
            </w:r>
          </w:p>
          <w:p w14:paraId="6FAC3EF6" w14:textId="256D9F8B" w:rsidR="001566D0" w:rsidRPr="003E2B1E" w:rsidRDefault="001566D0" w:rsidP="000A4AAA">
            <w:pPr>
              <w:spacing w:after="0"/>
              <w:jc w:val="both"/>
              <w:rPr>
                <w:rFonts w:ascii="Times New Roman" w:hAnsi="Times New Roman"/>
                <w:sz w:val="24"/>
                <w:szCs w:val="24"/>
                <w:lang w:val="es-CO"/>
              </w:rPr>
            </w:pPr>
          </w:p>
        </w:tc>
      </w:tr>
      <w:tr w:rsidR="00300782" w:rsidRPr="003E2B1E" w14:paraId="6095E6CC" w14:textId="77777777" w:rsidTr="3F51EF3A">
        <w:tc>
          <w:tcPr>
            <w:tcW w:w="9923" w:type="dxa"/>
          </w:tcPr>
          <w:p w14:paraId="78B55BF6" w14:textId="1F1B2E1A" w:rsidR="00300782" w:rsidRPr="003E2B1E" w:rsidRDefault="00967950" w:rsidP="000A4AAA">
            <w:pPr>
              <w:spacing w:after="0"/>
              <w:rPr>
                <w:rFonts w:ascii="Times New Roman" w:hAnsi="Times New Roman"/>
                <w:b/>
                <w:sz w:val="24"/>
                <w:szCs w:val="24"/>
                <w:lang w:val="es-CO"/>
              </w:rPr>
            </w:pPr>
            <w:r w:rsidRPr="003E2B1E">
              <w:rPr>
                <w:rFonts w:ascii="Times New Roman" w:hAnsi="Times New Roman"/>
                <w:b/>
                <w:sz w:val="24"/>
                <w:szCs w:val="24"/>
                <w:lang w:val="es-CO"/>
              </w:rPr>
              <w:lastRenderedPageBreak/>
              <w:t xml:space="preserve">2.2 </w:t>
            </w:r>
            <w:r w:rsidR="00300782" w:rsidRPr="003E2B1E">
              <w:rPr>
                <w:rFonts w:ascii="Times New Roman" w:hAnsi="Times New Roman"/>
                <w:b/>
                <w:sz w:val="24"/>
                <w:szCs w:val="24"/>
                <w:lang w:val="es-CO"/>
              </w:rPr>
              <w:t xml:space="preserve">Datos: Fuente de los datos: </w:t>
            </w:r>
            <w:r w:rsidR="00971E48" w:rsidRPr="003E2B1E">
              <w:rPr>
                <w:rFonts w:ascii="Times New Roman" w:hAnsi="Times New Roman"/>
                <w:b/>
                <w:sz w:val="24"/>
                <w:szCs w:val="24"/>
                <w:lang w:val="es-CO"/>
              </w:rPr>
              <w:t>¿</w:t>
            </w:r>
            <w:r w:rsidR="00300782" w:rsidRPr="003E2B1E">
              <w:rPr>
                <w:rFonts w:ascii="Times New Roman" w:hAnsi="Times New Roman"/>
                <w:b/>
                <w:sz w:val="24"/>
                <w:szCs w:val="24"/>
                <w:lang w:val="es-CO"/>
              </w:rPr>
              <w:t>quién los produce</w:t>
            </w:r>
            <w:r w:rsidR="00971E48" w:rsidRPr="003E2B1E">
              <w:rPr>
                <w:rFonts w:ascii="Times New Roman" w:hAnsi="Times New Roman"/>
                <w:b/>
                <w:sz w:val="24"/>
                <w:szCs w:val="24"/>
                <w:lang w:val="es-CO"/>
              </w:rPr>
              <w:t>?</w:t>
            </w:r>
          </w:p>
        </w:tc>
      </w:tr>
      <w:tr w:rsidR="00300782" w:rsidRPr="003E2B1E" w14:paraId="0AF8FBAC" w14:textId="77777777" w:rsidTr="3F51EF3A">
        <w:trPr>
          <w:trHeight w:val="1017"/>
        </w:trPr>
        <w:tc>
          <w:tcPr>
            <w:tcW w:w="9923" w:type="dxa"/>
          </w:tcPr>
          <w:p w14:paraId="71C418D1" w14:textId="2C05AEAE" w:rsidR="00300782" w:rsidRPr="003E2B1E" w:rsidRDefault="00510C20" w:rsidP="000A4AAA">
            <w:pPr>
              <w:spacing w:after="0"/>
              <w:rPr>
                <w:rFonts w:ascii="Times New Roman" w:hAnsi="Times New Roman"/>
                <w:sz w:val="24"/>
                <w:szCs w:val="24"/>
                <w:lang w:val="es-CO"/>
              </w:rPr>
            </w:pPr>
            <w:r w:rsidRPr="00510C20">
              <w:rPr>
                <w:rFonts w:ascii="Times New Roman" w:hAnsi="Times New Roman"/>
                <w:sz w:val="24"/>
                <w:szCs w:val="24"/>
                <w:lang w:val="es-CO"/>
              </w:rPr>
              <w:t>libros, artículos, informes y estadísticas de organismos internacionales</w:t>
            </w:r>
          </w:p>
        </w:tc>
      </w:tr>
      <w:tr w:rsidR="00300782" w:rsidRPr="003E2B1E" w14:paraId="6066C8A0" w14:textId="77777777" w:rsidTr="3F51EF3A">
        <w:tc>
          <w:tcPr>
            <w:tcW w:w="9923" w:type="dxa"/>
          </w:tcPr>
          <w:p w14:paraId="0CDB9EC6" w14:textId="348326B3" w:rsidR="00300782" w:rsidRPr="003E2B1E" w:rsidRDefault="00967950" w:rsidP="000A4AAA">
            <w:pPr>
              <w:spacing w:after="0"/>
              <w:rPr>
                <w:rFonts w:ascii="Times New Roman" w:hAnsi="Times New Roman"/>
                <w:b/>
                <w:sz w:val="24"/>
                <w:szCs w:val="24"/>
                <w:lang w:val="es-CO"/>
              </w:rPr>
            </w:pPr>
            <w:r w:rsidRPr="003E2B1E">
              <w:rPr>
                <w:rFonts w:ascii="Times New Roman" w:hAnsi="Times New Roman"/>
                <w:b/>
                <w:sz w:val="24"/>
                <w:szCs w:val="24"/>
                <w:lang w:val="es-CO"/>
              </w:rPr>
              <w:t xml:space="preserve">2.3 </w:t>
            </w:r>
            <w:r w:rsidR="00300782" w:rsidRPr="003E2B1E">
              <w:rPr>
                <w:rFonts w:ascii="Times New Roman" w:hAnsi="Times New Roman"/>
                <w:b/>
                <w:sz w:val="24"/>
                <w:szCs w:val="24"/>
                <w:lang w:val="es-CO"/>
              </w:rPr>
              <w:t xml:space="preserve">Herramientas metodológicas (entrevistas, estadísticas, revisión de prensa, revisión normativa, cualitativo, cuantitativo, </w:t>
            </w:r>
            <w:r w:rsidR="00971E48" w:rsidRPr="003E2B1E">
              <w:rPr>
                <w:rFonts w:ascii="Times New Roman" w:hAnsi="Times New Roman"/>
                <w:b/>
                <w:sz w:val="24"/>
                <w:szCs w:val="24"/>
                <w:lang w:val="es-CO"/>
              </w:rPr>
              <w:t>etc.</w:t>
            </w:r>
            <w:r w:rsidR="00300782" w:rsidRPr="003E2B1E">
              <w:rPr>
                <w:rFonts w:ascii="Times New Roman" w:hAnsi="Times New Roman"/>
                <w:b/>
                <w:sz w:val="24"/>
                <w:szCs w:val="24"/>
                <w:lang w:val="es-CO"/>
              </w:rPr>
              <w:t>)</w:t>
            </w:r>
          </w:p>
        </w:tc>
      </w:tr>
      <w:tr w:rsidR="00300782" w:rsidRPr="003E2B1E" w14:paraId="3CAF1CD4" w14:textId="77777777" w:rsidTr="3F51EF3A">
        <w:trPr>
          <w:trHeight w:val="1622"/>
        </w:trPr>
        <w:tc>
          <w:tcPr>
            <w:tcW w:w="9923" w:type="dxa"/>
          </w:tcPr>
          <w:p w14:paraId="622B92E4" w14:textId="0BD694CF" w:rsidR="00510C20" w:rsidRPr="003E2B1E" w:rsidRDefault="00510C20" w:rsidP="00A34337">
            <w:pPr>
              <w:spacing w:after="0"/>
              <w:jc w:val="both"/>
              <w:rPr>
                <w:rFonts w:ascii="Times New Roman" w:hAnsi="Times New Roman"/>
                <w:sz w:val="24"/>
                <w:szCs w:val="24"/>
                <w:lang w:val="es-CO"/>
              </w:rPr>
            </w:pPr>
            <w:r w:rsidRPr="00510C20">
              <w:rPr>
                <w:rFonts w:ascii="Times New Roman" w:hAnsi="Times New Roman"/>
                <w:sz w:val="24"/>
                <w:szCs w:val="24"/>
                <w:lang w:val="es-CO"/>
              </w:rPr>
              <w:t>El texto se basa en el modelo de Ficha</w:t>
            </w:r>
            <w:r>
              <w:rPr>
                <w:rFonts w:ascii="Times New Roman" w:hAnsi="Times New Roman"/>
                <w:sz w:val="24"/>
                <w:szCs w:val="24"/>
                <w:lang w:val="es-CO"/>
              </w:rPr>
              <w:t xml:space="preserve"> </w:t>
            </w:r>
            <w:r w:rsidRPr="00510C20">
              <w:rPr>
                <w:rFonts w:ascii="Times New Roman" w:hAnsi="Times New Roman"/>
                <w:sz w:val="24"/>
                <w:szCs w:val="24"/>
                <w:lang w:val="es-CO"/>
              </w:rPr>
              <w:t>Nueva, que es una herramienta para elaborar fichas bibliográficas con información relevante sobre una fuente.</w:t>
            </w:r>
          </w:p>
        </w:tc>
      </w:tr>
      <w:tr w:rsidR="00300782" w:rsidRPr="003E2B1E" w14:paraId="6BAC7D78" w14:textId="77777777" w:rsidTr="3F51EF3A">
        <w:tc>
          <w:tcPr>
            <w:tcW w:w="9923" w:type="dxa"/>
          </w:tcPr>
          <w:p w14:paraId="24F1CF5A" w14:textId="77777777" w:rsidR="00300782" w:rsidRPr="003E2B1E" w:rsidRDefault="00300782" w:rsidP="000A4AAA">
            <w:pPr>
              <w:spacing w:after="0"/>
              <w:rPr>
                <w:rFonts w:ascii="Times New Roman" w:hAnsi="Times New Roman"/>
                <w:b/>
                <w:sz w:val="24"/>
                <w:szCs w:val="24"/>
                <w:lang w:val="es-CO"/>
              </w:rPr>
            </w:pPr>
            <w:r w:rsidRPr="003E2B1E">
              <w:rPr>
                <w:rFonts w:ascii="Times New Roman" w:hAnsi="Times New Roman"/>
                <w:b/>
                <w:sz w:val="24"/>
                <w:szCs w:val="24"/>
                <w:lang w:val="es-CO"/>
              </w:rPr>
              <w:t>Conclusiones</w:t>
            </w:r>
          </w:p>
        </w:tc>
      </w:tr>
      <w:tr w:rsidR="00300782" w:rsidRPr="003E2B1E" w14:paraId="31C5161F" w14:textId="77777777" w:rsidTr="3F51EF3A">
        <w:trPr>
          <w:trHeight w:val="965"/>
        </w:trPr>
        <w:tc>
          <w:tcPr>
            <w:tcW w:w="9923" w:type="dxa"/>
          </w:tcPr>
          <w:p w14:paraId="6764C3E1" w14:textId="77777777" w:rsidR="006E40FA" w:rsidRDefault="00785062" w:rsidP="00785062">
            <w:pPr>
              <w:pStyle w:val="Prrafodelista"/>
              <w:numPr>
                <w:ilvl w:val="0"/>
                <w:numId w:val="26"/>
              </w:numPr>
              <w:spacing w:after="0"/>
              <w:ind w:left="311"/>
              <w:jc w:val="both"/>
              <w:rPr>
                <w:rFonts w:ascii="Times New Roman" w:hAnsi="Times New Roman"/>
                <w:sz w:val="24"/>
                <w:szCs w:val="24"/>
                <w:lang w:val="es-CO"/>
              </w:rPr>
            </w:pPr>
            <w:r w:rsidRPr="00785062">
              <w:rPr>
                <w:rFonts w:ascii="Times New Roman" w:hAnsi="Times New Roman"/>
                <w:sz w:val="24"/>
                <w:szCs w:val="24"/>
                <w:lang w:val="es-CO"/>
              </w:rPr>
              <w:t xml:space="preserve">la PNGP se ha convertido en una tendencia que algunos autores sitúan emergente desde la segunda mitad de la década de 1990, mientras otros la sitúan en la década siguiente, aunque unos y otros con independencia de su origen temporal </w:t>
            </w:r>
            <w:r w:rsidRPr="00785062">
              <w:rPr>
                <w:rFonts w:ascii="Times New Roman" w:hAnsi="Times New Roman"/>
                <w:sz w:val="24"/>
                <w:szCs w:val="24"/>
                <w:lang w:val="es-CO"/>
              </w:rPr>
              <w:t>coinciden</w:t>
            </w:r>
            <w:r w:rsidRPr="00785062">
              <w:rPr>
                <w:rFonts w:ascii="Times New Roman" w:hAnsi="Times New Roman"/>
                <w:sz w:val="24"/>
                <w:szCs w:val="24"/>
                <w:lang w:val="es-CO"/>
              </w:rPr>
              <w:t xml:space="preserve"> en que la PNGP aboga centralmente por tres aspectos interrelacionados: incrementar el papel del centro político, poner el acento en un ethos y un sistema de valores propio del sector público y fomentar lógicas colaborativas de gobierno sustentadas en modelos de gobernanza</w:t>
            </w:r>
            <w:r>
              <w:rPr>
                <w:rFonts w:ascii="Times New Roman" w:hAnsi="Times New Roman"/>
                <w:sz w:val="24"/>
                <w:szCs w:val="24"/>
                <w:lang w:val="es-CO"/>
              </w:rPr>
              <w:t xml:space="preserve">. </w:t>
            </w:r>
            <w:r w:rsidRPr="00785062">
              <w:rPr>
                <w:rFonts w:ascii="Times New Roman" w:hAnsi="Times New Roman"/>
                <w:sz w:val="24"/>
                <w:szCs w:val="24"/>
                <w:lang w:val="es-CO"/>
              </w:rPr>
              <w:t>(Chica, 2016, p.1</w:t>
            </w:r>
            <w:r>
              <w:rPr>
                <w:rFonts w:ascii="Times New Roman" w:hAnsi="Times New Roman"/>
                <w:sz w:val="24"/>
                <w:szCs w:val="24"/>
                <w:lang w:val="es-CO"/>
              </w:rPr>
              <w:t>23</w:t>
            </w:r>
            <w:r w:rsidRPr="00785062">
              <w:rPr>
                <w:rFonts w:ascii="Times New Roman" w:hAnsi="Times New Roman"/>
                <w:sz w:val="24"/>
                <w:szCs w:val="24"/>
                <w:lang w:val="es-CO"/>
              </w:rPr>
              <w:t>)</w:t>
            </w:r>
          </w:p>
          <w:p w14:paraId="53565343" w14:textId="1D694001" w:rsidR="00785062" w:rsidRPr="003E2B1E" w:rsidRDefault="00785062" w:rsidP="00785062">
            <w:pPr>
              <w:pStyle w:val="Prrafodelista"/>
              <w:numPr>
                <w:ilvl w:val="0"/>
                <w:numId w:val="26"/>
              </w:numPr>
              <w:spacing w:after="0"/>
              <w:ind w:left="311"/>
              <w:jc w:val="both"/>
              <w:rPr>
                <w:rFonts w:ascii="Times New Roman" w:hAnsi="Times New Roman"/>
                <w:sz w:val="24"/>
                <w:szCs w:val="24"/>
                <w:lang w:val="es-CO"/>
              </w:rPr>
            </w:pPr>
            <w:r w:rsidRPr="00785062">
              <w:rPr>
                <w:rFonts w:ascii="Times New Roman" w:hAnsi="Times New Roman"/>
                <w:sz w:val="24"/>
                <w:szCs w:val="24"/>
                <w:lang w:val="es-CO"/>
              </w:rPr>
              <w:t>El texto concluye que tanto la NGP como la P-NGP tienen fortalezas y debilidades, así como desafíos pendientes para mejorar la gestión pública. Por ello, propone una visión integradora que reconozca las aportaciones de ambos enfoques y que busque superar sus contradicciones mediante un diálogo crítico y constructivo entre los actores involucrados.</w:t>
            </w:r>
          </w:p>
        </w:tc>
      </w:tr>
    </w:tbl>
    <w:p w14:paraId="24D9A8D3" w14:textId="5F4BEBA6" w:rsidR="00F71FDD" w:rsidRDefault="00F71FDD" w:rsidP="00785062">
      <w:pPr>
        <w:rPr>
          <w:rFonts w:ascii="Arial" w:hAnsi="Arial" w:cs="Arial"/>
          <w:b/>
          <w:sz w:val="32"/>
          <w:szCs w:val="32"/>
          <w:lang w:val="es-CO"/>
        </w:rPr>
      </w:pPr>
    </w:p>
    <w:p w14:paraId="7E9C2DD2" w14:textId="0DB77525" w:rsidR="00785062" w:rsidRPr="00785062" w:rsidRDefault="00785062" w:rsidP="00785062">
      <w:pPr>
        <w:spacing w:after="0"/>
        <w:ind w:left="-49"/>
        <w:jc w:val="both"/>
        <w:rPr>
          <w:rFonts w:ascii="Times New Roman" w:hAnsi="Times New Roman"/>
          <w:sz w:val="24"/>
          <w:szCs w:val="24"/>
          <w:lang w:val="es-CO"/>
        </w:rPr>
      </w:pPr>
      <w:r w:rsidRPr="00785062">
        <w:rPr>
          <w:rFonts w:ascii="Times New Roman" w:hAnsi="Times New Roman"/>
          <w:sz w:val="24"/>
          <w:szCs w:val="24"/>
          <w:lang w:val="es-CO"/>
        </w:rPr>
        <w:t>Elaboración de la Ficha de Lectura por: Luis Enrique Guerrero Ibarra, ESAP.</w:t>
      </w:r>
      <w:r>
        <w:rPr>
          <w:rFonts w:ascii="Times New Roman" w:hAnsi="Times New Roman"/>
          <w:sz w:val="24"/>
          <w:szCs w:val="24"/>
          <w:lang w:val="es-CO"/>
        </w:rPr>
        <w:t xml:space="preserve"> Bogotá.</w:t>
      </w:r>
    </w:p>
    <w:p w14:paraId="516E7B2F" w14:textId="77777777" w:rsidR="00E55542" w:rsidRPr="003E2B1E" w:rsidRDefault="00E55542" w:rsidP="00E55542">
      <w:pPr>
        <w:jc w:val="center"/>
        <w:rPr>
          <w:rFonts w:ascii="Arial" w:hAnsi="Arial" w:cs="Arial"/>
          <w:bCs/>
          <w:sz w:val="24"/>
          <w:szCs w:val="24"/>
          <w:lang w:val="es-CO"/>
        </w:rPr>
      </w:pPr>
    </w:p>
    <w:sectPr w:rsidR="00E55542" w:rsidRPr="003E2B1E" w:rsidSect="00F71F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5C1E9" w14:textId="77777777" w:rsidR="00C75993" w:rsidRDefault="00C75993" w:rsidP="000E1B6E">
      <w:pPr>
        <w:spacing w:after="0" w:line="240" w:lineRule="auto"/>
      </w:pPr>
      <w:r>
        <w:separator/>
      </w:r>
    </w:p>
  </w:endnote>
  <w:endnote w:type="continuationSeparator" w:id="0">
    <w:p w14:paraId="75BEF97A" w14:textId="77777777" w:rsidR="00C75993" w:rsidRDefault="00C75993" w:rsidP="000E1B6E">
      <w:pPr>
        <w:spacing w:after="0" w:line="240" w:lineRule="auto"/>
      </w:pPr>
      <w:r>
        <w:continuationSeparator/>
      </w:r>
    </w:p>
  </w:endnote>
  <w:endnote w:type="continuationNotice" w:id="1">
    <w:p w14:paraId="52A107AB" w14:textId="77777777" w:rsidR="00C75993" w:rsidRDefault="00C759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8D21" w14:textId="77777777" w:rsidR="00C75993" w:rsidRDefault="00C75993" w:rsidP="000E1B6E">
      <w:pPr>
        <w:spacing w:after="0" w:line="240" w:lineRule="auto"/>
      </w:pPr>
      <w:r>
        <w:separator/>
      </w:r>
    </w:p>
  </w:footnote>
  <w:footnote w:type="continuationSeparator" w:id="0">
    <w:p w14:paraId="03A8D7D4" w14:textId="77777777" w:rsidR="00C75993" w:rsidRDefault="00C75993" w:rsidP="000E1B6E">
      <w:pPr>
        <w:spacing w:after="0" w:line="240" w:lineRule="auto"/>
      </w:pPr>
      <w:r>
        <w:continuationSeparator/>
      </w:r>
    </w:p>
  </w:footnote>
  <w:footnote w:type="continuationNotice" w:id="1">
    <w:p w14:paraId="0063B3F9" w14:textId="77777777" w:rsidR="00C75993" w:rsidRDefault="00C759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34B"/>
    <w:multiLevelType w:val="hybridMultilevel"/>
    <w:tmpl w:val="8AB6F6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2D0CE0"/>
    <w:multiLevelType w:val="hybridMultilevel"/>
    <w:tmpl w:val="3CD2A9CA"/>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05A65319"/>
    <w:multiLevelType w:val="hybridMultilevel"/>
    <w:tmpl w:val="442A7C8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855E5C"/>
    <w:multiLevelType w:val="hybridMultilevel"/>
    <w:tmpl w:val="B10E0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0828A8"/>
    <w:multiLevelType w:val="hybridMultilevel"/>
    <w:tmpl w:val="C5F6F8EC"/>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48024D"/>
    <w:multiLevelType w:val="hybridMultilevel"/>
    <w:tmpl w:val="6DF83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E12A7B"/>
    <w:multiLevelType w:val="hybridMultilevel"/>
    <w:tmpl w:val="DA9E88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90216A"/>
    <w:multiLevelType w:val="hybridMultilevel"/>
    <w:tmpl w:val="3D845D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A190DEA"/>
    <w:multiLevelType w:val="hybridMultilevel"/>
    <w:tmpl w:val="13065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2B0427"/>
    <w:multiLevelType w:val="hybridMultilevel"/>
    <w:tmpl w:val="E92260A4"/>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15:restartNumberingAfterBreak="0">
    <w:nsid w:val="438049C0"/>
    <w:multiLevelType w:val="hybridMultilevel"/>
    <w:tmpl w:val="0CF8C1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C47775"/>
    <w:multiLevelType w:val="hybridMultilevel"/>
    <w:tmpl w:val="5A968F0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4B22905"/>
    <w:multiLevelType w:val="hybridMultilevel"/>
    <w:tmpl w:val="C12ADB84"/>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D7F4C"/>
    <w:multiLevelType w:val="hybridMultilevel"/>
    <w:tmpl w:val="BB4A9F2A"/>
    <w:lvl w:ilvl="0" w:tplc="D47079DE">
      <w:start w:val="1"/>
      <w:numFmt w:val="bullet"/>
      <w:lvlText w:val="-"/>
      <w:lvlJc w:val="left"/>
      <w:pPr>
        <w:ind w:left="720" w:hanging="360"/>
      </w:pPr>
      <w:rPr>
        <w:rFonts w:ascii="Cambria" w:eastAsia="Calibri" w:hAnsi="Cambria"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01903CB"/>
    <w:multiLevelType w:val="hybridMultilevel"/>
    <w:tmpl w:val="C3F4020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0297E1A"/>
    <w:multiLevelType w:val="hybridMultilevel"/>
    <w:tmpl w:val="25A0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DA6E80"/>
    <w:multiLevelType w:val="hybridMultilevel"/>
    <w:tmpl w:val="32A2C6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44E7A99"/>
    <w:multiLevelType w:val="hybridMultilevel"/>
    <w:tmpl w:val="BEAEBC0E"/>
    <w:lvl w:ilvl="0" w:tplc="70FCF28E">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CD5D12"/>
    <w:multiLevelType w:val="hybridMultilevel"/>
    <w:tmpl w:val="5B6E0ECA"/>
    <w:lvl w:ilvl="0" w:tplc="B7DAC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5D210C"/>
    <w:multiLevelType w:val="hybridMultilevel"/>
    <w:tmpl w:val="1AD827C0"/>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6865265D"/>
    <w:multiLevelType w:val="hybridMultilevel"/>
    <w:tmpl w:val="3402C12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BE90EA2"/>
    <w:multiLevelType w:val="hybridMultilevel"/>
    <w:tmpl w:val="DE249496"/>
    <w:lvl w:ilvl="0" w:tplc="D5E89CD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525B4F"/>
    <w:multiLevelType w:val="hybridMultilevel"/>
    <w:tmpl w:val="48D0AB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CF3479"/>
    <w:multiLevelType w:val="hybridMultilevel"/>
    <w:tmpl w:val="874C063C"/>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7293939"/>
    <w:multiLevelType w:val="hybridMultilevel"/>
    <w:tmpl w:val="181E9F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EE43E89"/>
    <w:multiLevelType w:val="hybridMultilevel"/>
    <w:tmpl w:val="812881CE"/>
    <w:lvl w:ilvl="0" w:tplc="D47079DE">
      <w:start w:val="1"/>
      <w:numFmt w:val="bullet"/>
      <w:lvlText w:val="-"/>
      <w:lvlJc w:val="left"/>
      <w:pPr>
        <w:ind w:left="1068" w:hanging="360"/>
      </w:pPr>
      <w:rPr>
        <w:rFonts w:ascii="Cambria" w:eastAsia="Calibri" w:hAnsi="Cambria" w:cs="Times New Roman"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num w:numId="1" w16cid:durableId="1780685240">
    <w:abstractNumId w:val="13"/>
  </w:num>
  <w:num w:numId="2" w16cid:durableId="947926532">
    <w:abstractNumId w:val="11"/>
  </w:num>
  <w:num w:numId="3" w16cid:durableId="707677894">
    <w:abstractNumId w:val="15"/>
  </w:num>
  <w:num w:numId="4" w16cid:durableId="996960357">
    <w:abstractNumId w:val="6"/>
  </w:num>
  <w:num w:numId="5" w16cid:durableId="1863325999">
    <w:abstractNumId w:val="5"/>
  </w:num>
  <w:num w:numId="6" w16cid:durableId="1146125794">
    <w:abstractNumId w:val="10"/>
  </w:num>
  <w:num w:numId="7" w16cid:durableId="704989227">
    <w:abstractNumId w:val="8"/>
  </w:num>
  <w:num w:numId="8" w16cid:durableId="914701090">
    <w:abstractNumId w:val="12"/>
  </w:num>
  <w:num w:numId="9" w16cid:durableId="1484665933">
    <w:abstractNumId w:val="2"/>
  </w:num>
  <w:num w:numId="10" w16cid:durableId="996882340">
    <w:abstractNumId w:val="4"/>
  </w:num>
  <w:num w:numId="11" w16cid:durableId="337469550">
    <w:abstractNumId w:val="18"/>
  </w:num>
  <w:num w:numId="12" w16cid:durableId="230425860">
    <w:abstractNumId w:val="24"/>
  </w:num>
  <w:num w:numId="13" w16cid:durableId="42412369">
    <w:abstractNumId w:val="16"/>
  </w:num>
  <w:num w:numId="14" w16cid:durableId="1849520444">
    <w:abstractNumId w:val="20"/>
  </w:num>
  <w:num w:numId="15" w16cid:durableId="1393962363">
    <w:abstractNumId w:val="7"/>
  </w:num>
  <w:num w:numId="16" w16cid:durableId="1662153626">
    <w:abstractNumId w:val="0"/>
  </w:num>
  <w:num w:numId="17" w16cid:durableId="225840259">
    <w:abstractNumId w:val="14"/>
  </w:num>
  <w:num w:numId="18" w16cid:durableId="1071807189">
    <w:abstractNumId w:val="23"/>
  </w:num>
  <w:num w:numId="19" w16cid:durableId="1424447744">
    <w:abstractNumId w:val="9"/>
  </w:num>
  <w:num w:numId="20" w16cid:durableId="1742557765">
    <w:abstractNumId w:val="19"/>
  </w:num>
  <w:num w:numId="21" w16cid:durableId="17005229">
    <w:abstractNumId w:val="25"/>
  </w:num>
  <w:num w:numId="22" w16cid:durableId="518206748">
    <w:abstractNumId w:val="1"/>
  </w:num>
  <w:num w:numId="23" w16cid:durableId="1288585835">
    <w:abstractNumId w:val="21"/>
  </w:num>
  <w:num w:numId="24" w16cid:durableId="1079136840">
    <w:abstractNumId w:val="3"/>
  </w:num>
  <w:num w:numId="25" w16cid:durableId="333847005">
    <w:abstractNumId w:val="17"/>
  </w:num>
  <w:num w:numId="26" w16cid:durableId="18727674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6E"/>
    <w:rsid w:val="0002269B"/>
    <w:rsid w:val="00046883"/>
    <w:rsid w:val="00084A1F"/>
    <w:rsid w:val="00087C1A"/>
    <w:rsid w:val="00091C43"/>
    <w:rsid w:val="000956B0"/>
    <w:rsid w:val="000A1267"/>
    <w:rsid w:val="000A4AAA"/>
    <w:rsid w:val="000B3201"/>
    <w:rsid w:val="000C3DF0"/>
    <w:rsid w:val="000D070E"/>
    <w:rsid w:val="000E1018"/>
    <w:rsid w:val="000E1B6E"/>
    <w:rsid w:val="000E23A4"/>
    <w:rsid w:val="000E5EFF"/>
    <w:rsid w:val="000F3B72"/>
    <w:rsid w:val="00116DAC"/>
    <w:rsid w:val="00146A67"/>
    <w:rsid w:val="001566D0"/>
    <w:rsid w:val="001805D5"/>
    <w:rsid w:val="001C3AFC"/>
    <w:rsid w:val="001C4246"/>
    <w:rsid w:val="001E777E"/>
    <w:rsid w:val="001F2DA0"/>
    <w:rsid w:val="00227BAB"/>
    <w:rsid w:val="002824B4"/>
    <w:rsid w:val="002826C7"/>
    <w:rsid w:val="002A32C1"/>
    <w:rsid w:val="002A60A2"/>
    <w:rsid w:val="002B5CE5"/>
    <w:rsid w:val="00300782"/>
    <w:rsid w:val="0030672B"/>
    <w:rsid w:val="00307CE8"/>
    <w:rsid w:val="003132BB"/>
    <w:rsid w:val="00317649"/>
    <w:rsid w:val="00325671"/>
    <w:rsid w:val="00326F5A"/>
    <w:rsid w:val="0033510A"/>
    <w:rsid w:val="00363D36"/>
    <w:rsid w:val="00367062"/>
    <w:rsid w:val="003B38B0"/>
    <w:rsid w:val="003C2131"/>
    <w:rsid w:val="003D169C"/>
    <w:rsid w:val="003E2B1E"/>
    <w:rsid w:val="003E59B0"/>
    <w:rsid w:val="00410B9C"/>
    <w:rsid w:val="00425A02"/>
    <w:rsid w:val="004536AB"/>
    <w:rsid w:val="00457979"/>
    <w:rsid w:val="00461285"/>
    <w:rsid w:val="00467A25"/>
    <w:rsid w:val="004722BD"/>
    <w:rsid w:val="00491460"/>
    <w:rsid w:val="004C399D"/>
    <w:rsid w:val="004C40B5"/>
    <w:rsid w:val="004D0CB8"/>
    <w:rsid w:val="00510C20"/>
    <w:rsid w:val="00571438"/>
    <w:rsid w:val="0057355D"/>
    <w:rsid w:val="00576805"/>
    <w:rsid w:val="005879FC"/>
    <w:rsid w:val="0059398F"/>
    <w:rsid w:val="005D1C17"/>
    <w:rsid w:val="005D6EC0"/>
    <w:rsid w:val="005F2652"/>
    <w:rsid w:val="00611A5B"/>
    <w:rsid w:val="006336B9"/>
    <w:rsid w:val="006711B5"/>
    <w:rsid w:val="00671C26"/>
    <w:rsid w:val="00674EAC"/>
    <w:rsid w:val="00696534"/>
    <w:rsid w:val="006B4203"/>
    <w:rsid w:val="006D70AD"/>
    <w:rsid w:val="006E40FA"/>
    <w:rsid w:val="006F071D"/>
    <w:rsid w:val="00700E34"/>
    <w:rsid w:val="00706F08"/>
    <w:rsid w:val="00713851"/>
    <w:rsid w:val="00722555"/>
    <w:rsid w:val="00733A9B"/>
    <w:rsid w:val="0076316E"/>
    <w:rsid w:val="00785062"/>
    <w:rsid w:val="007A3C8F"/>
    <w:rsid w:val="00801ED6"/>
    <w:rsid w:val="00825C7A"/>
    <w:rsid w:val="008272C5"/>
    <w:rsid w:val="008324DA"/>
    <w:rsid w:val="00833E12"/>
    <w:rsid w:val="00845BAE"/>
    <w:rsid w:val="00890A47"/>
    <w:rsid w:val="00893C37"/>
    <w:rsid w:val="008C02FF"/>
    <w:rsid w:val="008C21C6"/>
    <w:rsid w:val="008D3253"/>
    <w:rsid w:val="008F1676"/>
    <w:rsid w:val="00916FCC"/>
    <w:rsid w:val="00930A90"/>
    <w:rsid w:val="00942B67"/>
    <w:rsid w:val="009606A0"/>
    <w:rsid w:val="00967950"/>
    <w:rsid w:val="00971E48"/>
    <w:rsid w:val="009B28E7"/>
    <w:rsid w:val="009D3885"/>
    <w:rsid w:val="009E04F5"/>
    <w:rsid w:val="009E5796"/>
    <w:rsid w:val="00A34337"/>
    <w:rsid w:val="00A70991"/>
    <w:rsid w:val="00AB1A0C"/>
    <w:rsid w:val="00AC59EC"/>
    <w:rsid w:val="00AE56E1"/>
    <w:rsid w:val="00AF15EF"/>
    <w:rsid w:val="00B11DA6"/>
    <w:rsid w:val="00B134BA"/>
    <w:rsid w:val="00B20FC6"/>
    <w:rsid w:val="00B44FF0"/>
    <w:rsid w:val="00B74F75"/>
    <w:rsid w:val="00B804ED"/>
    <w:rsid w:val="00B83741"/>
    <w:rsid w:val="00B9547C"/>
    <w:rsid w:val="00BD4E4E"/>
    <w:rsid w:val="00BD7729"/>
    <w:rsid w:val="00C373A3"/>
    <w:rsid w:val="00C44731"/>
    <w:rsid w:val="00C56FB2"/>
    <w:rsid w:val="00C7108F"/>
    <w:rsid w:val="00C75993"/>
    <w:rsid w:val="00C76FE2"/>
    <w:rsid w:val="00CB0C4F"/>
    <w:rsid w:val="00CF1BDF"/>
    <w:rsid w:val="00D10D2F"/>
    <w:rsid w:val="00D227EB"/>
    <w:rsid w:val="00D3299C"/>
    <w:rsid w:val="00D5126B"/>
    <w:rsid w:val="00D91DB7"/>
    <w:rsid w:val="00D933AF"/>
    <w:rsid w:val="00DF67E3"/>
    <w:rsid w:val="00E0242E"/>
    <w:rsid w:val="00E55542"/>
    <w:rsid w:val="00E6276A"/>
    <w:rsid w:val="00E63E7D"/>
    <w:rsid w:val="00E824F1"/>
    <w:rsid w:val="00E90CEA"/>
    <w:rsid w:val="00EB0ACF"/>
    <w:rsid w:val="00EC7EB1"/>
    <w:rsid w:val="00ED70D1"/>
    <w:rsid w:val="00EF6755"/>
    <w:rsid w:val="00F01D4B"/>
    <w:rsid w:val="00F26B7A"/>
    <w:rsid w:val="00F35113"/>
    <w:rsid w:val="00F37090"/>
    <w:rsid w:val="00F71FDD"/>
    <w:rsid w:val="00FA0BA6"/>
    <w:rsid w:val="00FA4514"/>
    <w:rsid w:val="00FB3D5C"/>
    <w:rsid w:val="00FB7299"/>
    <w:rsid w:val="00FC3363"/>
    <w:rsid w:val="00FD3210"/>
    <w:rsid w:val="2C840681"/>
    <w:rsid w:val="3F51EF3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3F323"/>
  <w15:docId w15:val="{2A5B5290-5F8B-470A-8AD8-96FDEA0E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6E"/>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E1B6E"/>
    <w:pPr>
      <w:spacing w:after="0" w:line="240" w:lineRule="auto"/>
    </w:pPr>
    <w:rPr>
      <w:sz w:val="24"/>
      <w:szCs w:val="24"/>
      <w:lang w:val="es-ES_tradnl"/>
    </w:rPr>
  </w:style>
  <w:style w:type="character" w:customStyle="1" w:styleId="TextonotapieCar">
    <w:name w:val="Texto nota pie Car"/>
    <w:basedOn w:val="Fuentedeprrafopredeter"/>
    <w:link w:val="Textonotapie"/>
    <w:uiPriority w:val="99"/>
    <w:semiHidden/>
    <w:rsid w:val="000E1B6E"/>
    <w:rPr>
      <w:rFonts w:ascii="Calibri" w:eastAsia="Calibri" w:hAnsi="Calibri" w:cs="Times New Roman"/>
      <w:sz w:val="24"/>
      <w:szCs w:val="24"/>
      <w:lang w:val="es-ES_tradnl"/>
    </w:rPr>
  </w:style>
  <w:style w:type="character" w:styleId="Refdenotaalpie">
    <w:name w:val="footnote reference"/>
    <w:basedOn w:val="Fuentedeprrafopredeter"/>
    <w:uiPriority w:val="99"/>
    <w:semiHidden/>
    <w:unhideWhenUsed/>
    <w:rsid w:val="000E1B6E"/>
    <w:rPr>
      <w:vertAlign w:val="superscript"/>
    </w:rPr>
  </w:style>
  <w:style w:type="paragraph" w:customStyle="1" w:styleId="Sinespaciado1">
    <w:name w:val="Sin espaciado1"/>
    <w:uiPriority w:val="1"/>
    <w:qFormat/>
    <w:rsid w:val="000E1B6E"/>
    <w:pPr>
      <w:spacing w:after="0" w:line="240" w:lineRule="auto"/>
    </w:pPr>
    <w:rPr>
      <w:rFonts w:ascii="Calibri" w:eastAsia="Calibri" w:hAnsi="Calibri" w:cs="Times New Roman"/>
      <w:lang w:val="es-CO"/>
    </w:rPr>
  </w:style>
  <w:style w:type="paragraph" w:styleId="Prrafodelista">
    <w:name w:val="List Paragraph"/>
    <w:basedOn w:val="Normal"/>
    <w:uiPriority w:val="34"/>
    <w:qFormat/>
    <w:rsid w:val="00B44FF0"/>
    <w:pPr>
      <w:ind w:left="720"/>
      <w:contextualSpacing/>
    </w:pPr>
  </w:style>
  <w:style w:type="character" w:styleId="Hipervnculo">
    <w:name w:val="Hyperlink"/>
    <w:basedOn w:val="Fuentedeprrafopredeter"/>
    <w:uiPriority w:val="99"/>
    <w:unhideWhenUsed/>
    <w:rsid w:val="00B9547C"/>
    <w:rPr>
      <w:color w:val="0000FF" w:themeColor="hyperlink"/>
      <w:u w:val="single"/>
    </w:rPr>
  </w:style>
  <w:style w:type="paragraph" w:styleId="NormalWeb">
    <w:name w:val="Normal (Web)"/>
    <w:basedOn w:val="Normal"/>
    <w:uiPriority w:val="99"/>
    <w:semiHidden/>
    <w:unhideWhenUsed/>
    <w:rsid w:val="001E777E"/>
    <w:pPr>
      <w:spacing w:before="100" w:beforeAutospacing="1" w:after="100" w:afterAutospacing="1" w:line="240" w:lineRule="auto"/>
    </w:pPr>
    <w:rPr>
      <w:rFonts w:ascii="Times New Roman" w:eastAsia="Times New Roman" w:hAnsi="Times New Roman"/>
      <w:sz w:val="24"/>
      <w:szCs w:val="24"/>
      <w:lang w:val="es-419" w:eastAsia="es-419"/>
    </w:rPr>
  </w:style>
  <w:style w:type="paragraph" w:styleId="Encabezado">
    <w:name w:val="header"/>
    <w:basedOn w:val="Normal"/>
    <w:link w:val="EncabezadoCar"/>
    <w:uiPriority w:val="99"/>
    <w:semiHidden/>
    <w:unhideWhenUsed/>
    <w:rsid w:val="00F35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35113"/>
    <w:rPr>
      <w:rFonts w:ascii="Calibri" w:eastAsia="Calibri" w:hAnsi="Calibri" w:cs="Times New Roman"/>
      <w:lang w:val="en-US"/>
    </w:rPr>
  </w:style>
  <w:style w:type="paragraph" w:styleId="Piedepgina">
    <w:name w:val="footer"/>
    <w:basedOn w:val="Normal"/>
    <w:link w:val="PiedepginaCar"/>
    <w:uiPriority w:val="99"/>
    <w:semiHidden/>
    <w:unhideWhenUsed/>
    <w:rsid w:val="00F351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3511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E36DB-BC56-4225-9C64-BDEC562C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1681</Words>
  <Characters>9250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LUIS ENRIQUE GUERRERO IBARRA</cp:lastModifiedBy>
  <cp:revision>6</cp:revision>
  <dcterms:created xsi:type="dcterms:W3CDTF">2023-03-28T17:21:00Z</dcterms:created>
  <dcterms:modified xsi:type="dcterms:W3CDTF">2023-03-29T05:53:00Z</dcterms:modified>
</cp:coreProperties>
</file>