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38" w:tblpY="10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7950" w:rsidRPr="00154B2D" w14:paraId="7DF6F93C" w14:textId="77777777" w:rsidTr="3F51EF3A">
        <w:tc>
          <w:tcPr>
            <w:tcW w:w="9923" w:type="dxa"/>
          </w:tcPr>
          <w:p w14:paraId="010FCB15" w14:textId="77777777" w:rsidR="00154B2D" w:rsidRPr="00154B2D" w:rsidRDefault="00154B2D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"El aporte de la Política Pública y de la Nueva Gestión Pública a la gobernanza". </w:t>
            </w:r>
          </w:p>
          <w:p w14:paraId="518BDF01" w14:textId="0F02FF7B" w:rsidR="00154B2D" w:rsidRPr="00154B2D" w:rsidRDefault="00154B2D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Luis F. Aguilar</w:t>
            </w:r>
          </w:p>
        </w:tc>
      </w:tr>
      <w:tr w:rsidR="00967950" w:rsidRPr="00154B2D" w14:paraId="6D1A74D2" w14:textId="77777777" w:rsidTr="3F51EF3A">
        <w:tc>
          <w:tcPr>
            <w:tcW w:w="9923" w:type="dxa"/>
          </w:tcPr>
          <w:p w14:paraId="707C56CA" w14:textId="39A3E902" w:rsidR="00967950" w:rsidRPr="00154B2D" w:rsidRDefault="00967950" w:rsidP="000A4AAA">
            <w:pPr>
              <w:tabs>
                <w:tab w:val="center" w:pos="4252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 Componente Temático</w:t>
            </w:r>
            <w:r w:rsidR="00154B2D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154B2D" w:rsidRPr="00154B2D">
              <w:t xml:space="preserve"> E</w:t>
            </w:r>
            <w:r w:rsidR="00154B2D" w:rsidRPr="00154B2D">
              <w:rPr>
                <w:rFonts w:ascii="Times New Roman" w:hAnsi="Times New Roman"/>
                <w:bCs/>
                <w:sz w:val="24"/>
                <w:szCs w:val="24"/>
              </w:rPr>
              <w:t>xploración de la relación entre la Política Pública, la Nueva Gestión Pública y la gobernanza</w:t>
            </w:r>
            <w:r w:rsidR="009D6BC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A70991" w:rsidRPr="00154B2D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  <w:tr w:rsidR="00967950" w:rsidRPr="00154B2D" w14:paraId="360ED4C1" w14:textId="77777777" w:rsidTr="3F51EF3A">
        <w:tc>
          <w:tcPr>
            <w:tcW w:w="9923" w:type="dxa"/>
          </w:tcPr>
          <w:p w14:paraId="2DBFE707" w14:textId="7FBFBA46" w:rsidR="00967950" w:rsidRPr="00154B2D" w:rsidRDefault="009D6BC5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1.1 Referencia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Bibliográfica</w:t>
            </w:r>
          </w:p>
        </w:tc>
      </w:tr>
      <w:tr w:rsidR="00967950" w:rsidRPr="00154B2D" w14:paraId="0C1614CF" w14:textId="77777777" w:rsidTr="3F51EF3A">
        <w:trPr>
          <w:trHeight w:val="927"/>
        </w:trPr>
        <w:tc>
          <w:tcPr>
            <w:tcW w:w="9923" w:type="dxa"/>
          </w:tcPr>
          <w:p w14:paraId="3C1BA858" w14:textId="545DF842" w:rsidR="00967950" w:rsidRPr="00154B2D" w:rsidRDefault="0012252F" w:rsidP="3F51EF3A">
            <w:pPr>
              <w:pStyle w:val="Sinespaciado1"/>
              <w:rPr>
                <w:rFonts w:ascii="Times New Roman" w:hAnsi="Times New Roman"/>
              </w:rPr>
            </w:pPr>
            <w:r w:rsidRPr="0012252F">
              <w:rPr>
                <w:rFonts w:ascii="Times New Roman" w:hAnsi="Times New Roman"/>
              </w:rPr>
              <w:t>Aguilar, L. F. (20</w:t>
            </w:r>
            <w:r>
              <w:rPr>
                <w:rFonts w:ascii="Times New Roman" w:hAnsi="Times New Roman"/>
              </w:rPr>
              <w:t>07</w:t>
            </w:r>
            <w:r w:rsidRPr="0012252F">
              <w:rPr>
                <w:rFonts w:ascii="Times New Roman" w:hAnsi="Times New Roman"/>
              </w:rPr>
              <w:t xml:space="preserve">). El aporte de la política pública y de la nueva gestión pública a la gobernanza. Revista </w:t>
            </w:r>
            <w:r>
              <w:t>del</w:t>
            </w:r>
            <w:r w:rsidRPr="0012252F">
              <w:rPr>
                <w:rFonts w:ascii="Times New Roman" w:hAnsi="Times New Roman"/>
              </w:rPr>
              <w:t xml:space="preserve"> CLAD Reforma y Democracia, (</w:t>
            </w:r>
            <w:r>
              <w:rPr>
                <w:rFonts w:ascii="Times New Roman" w:hAnsi="Times New Roman"/>
              </w:rPr>
              <w:t>39</w:t>
            </w:r>
            <w:r w:rsidRPr="0012252F">
              <w:rPr>
                <w:rFonts w:ascii="Times New Roman" w:hAnsi="Times New Roman"/>
              </w:rPr>
              <w:t>), 5-</w:t>
            </w:r>
            <w:r>
              <w:rPr>
                <w:rFonts w:ascii="Times New Roman" w:hAnsi="Times New Roman"/>
              </w:rPr>
              <w:t>3</w:t>
            </w:r>
            <w:r w:rsidRPr="0012252F">
              <w:rPr>
                <w:rFonts w:ascii="Times New Roman" w:hAnsi="Times New Roman"/>
              </w:rPr>
              <w:t>2.</w:t>
            </w:r>
          </w:p>
        </w:tc>
      </w:tr>
      <w:tr w:rsidR="00967950" w:rsidRPr="00154B2D" w14:paraId="5A2C41DB" w14:textId="77777777" w:rsidTr="3F51EF3A">
        <w:trPr>
          <w:trHeight w:val="675"/>
        </w:trPr>
        <w:tc>
          <w:tcPr>
            <w:tcW w:w="9923" w:type="dxa"/>
          </w:tcPr>
          <w:p w14:paraId="7551B226" w14:textId="7E0F62A0" w:rsidR="00967950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1.2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¿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Quién produce el texto? (texto académico, de ONG, de organismo internacional,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etc.</w:t>
            </w: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), autor, organización, entidad</w:t>
            </w:r>
            <w:r w:rsidR="008A1B91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 w:rsidR="008A1B91" w:rsidRPr="008A1B91">
              <w:rPr>
                <w:rFonts w:ascii="Times New Roman" w:hAnsi="Times New Roman"/>
                <w:bCs/>
                <w:sz w:val="24"/>
                <w:szCs w:val="24"/>
              </w:rPr>
              <w:t>Autor: Luis F. Aguilar</w:t>
            </w:r>
          </w:p>
        </w:tc>
      </w:tr>
      <w:tr w:rsidR="00EB0ACF" w:rsidRPr="00154B2D" w14:paraId="6C71C6D0" w14:textId="77777777" w:rsidTr="3F51EF3A">
        <w:tc>
          <w:tcPr>
            <w:tcW w:w="9923" w:type="dxa"/>
          </w:tcPr>
          <w:p w14:paraId="79ED960E" w14:textId="77777777" w:rsidR="000C3DF0" w:rsidRDefault="009D6BC5" w:rsidP="3F51EF3A">
            <w:pPr>
              <w:rPr>
                <w:rFonts w:ascii="Times New Roman" w:hAnsi="Times New Roman"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>1.3 Tesis</w:t>
            </w:r>
            <w:r w:rsidR="00971E48"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centrales</w:t>
            </w:r>
            <w:r w:rsidR="00967950"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y </w:t>
            </w:r>
            <w:r w:rsidRPr="00154B2D">
              <w:rPr>
                <w:rFonts w:ascii="Times New Roman" w:hAnsi="Times New Roman"/>
                <w:b/>
                <w:bCs/>
                <w:sz w:val="24"/>
                <w:szCs w:val="24"/>
              </w:rPr>
              <w:t>argumentación?</w:t>
            </w:r>
            <w:r w:rsidR="2C840681" w:rsidRPr="00154B2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9A5A68A" w14:textId="3ECFB254" w:rsidR="00A71EC8" w:rsidRDefault="00A71EC8" w:rsidP="00A71EC8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a política pública (PP) o la nueva gestión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pública (NGP) han sido propuestas disciplinarias y </w:t>
            </w:r>
            <w:r w:rsidRPr="00A71EC8">
              <w:rPr>
                <w:rFonts w:ascii="Times New Roman" w:hAnsi="Times New Roman"/>
                <w:i/>
                <w:sz w:val="24"/>
                <w:szCs w:val="24"/>
              </w:rPr>
              <w:t>profesionales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que </w:t>
            </w:r>
            <w:proofErr w:type="gramStart"/>
            <w:r w:rsidRPr="00A71EC8">
              <w:rPr>
                <w:rFonts w:ascii="Times New Roman" w:hAnsi="Times New Roman"/>
                <w:sz w:val="24"/>
                <w:szCs w:val="24"/>
              </w:rPr>
              <w:t>han sido procesadas</w:t>
            </w:r>
            <w:proofErr w:type="gramEnd"/>
            <w:r w:rsidRPr="00A71EC8">
              <w:rPr>
                <w:rFonts w:ascii="Times New Roman" w:hAnsi="Times New Roman"/>
                <w:sz w:val="24"/>
                <w:szCs w:val="24"/>
              </w:rPr>
              <w:t xml:space="preserve"> desde el enfoque de la gobernabilidad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de la gobernanza y que sus resultados (si no los propósitos) 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contribuido a difundir una nueva relación directiva </w:t>
            </w:r>
            <w:r>
              <w:rPr>
                <w:rFonts w:ascii="Times New Roman" w:hAnsi="Times New Roman"/>
                <w:sz w:val="24"/>
                <w:szCs w:val="24"/>
              </w:rPr>
              <w:t>entre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 xml:space="preserve"> gobierno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71EC8">
              <w:rPr>
                <w:rFonts w:ascii="Times New Roman" w:hAnsi="Times New Roman"/>
                <w:sz w:val="24"/>
                <w:szCs w:val="24"/>
              </w:rPr>
              <w:t>y sociedad, llamada Gobernanza o Nueva Gobernanza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4A932EB3" w14:textId="40F90813" w:rsidR="006611F5" w:rsidRDefault="00A71EC8" w:rsidP="00A71EC8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a gobernanza incluye a la gobernabilidad,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en tanto requiere la acción de un gobierno capaz y eficaz, pues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sin esta condición cumplida no existiría una condición esencial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 xml:space="preserve">para que pueda haber dirección de </w:t>
            </w:r>
            <w:r w:rsidR="006611F5" w:rsidRPr="00A71EC8">
              <w:rPr>
                <w:rFonts w:ascii="Times New Roman" w:hAnsi="Times New Roman"/>
                <w:i/>
                <w:sz w:val="24"/>
                <w:szCs w:val="24"/>
              </w:rPr>
              <w:t>la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 xml:space="preserve"> sociedad antes y ahora</w:t>
            </w:r>
            <w:r w:rsidR="006611F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611F5">
              <w:t xml:space="preserve"> 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 w:rsidR="006611F5">
              <w:rPr>
                <w:rFonts w:ascii="Times New Roman" w:hAnsi="Times New Roman"/>
                <w:sz w:val="24"/>
                <w:szCs w:val="24"/>
              </w:rPr>
              <w:t>7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, p. 1</w:t>
            </w:r>
            <w:r w:rsidR="006611F5">
              <w:rPr>
                <w:rFonts w:ascii="Times New Roman" w:hAnsi="Times New Roman"/>
                <w:sz w:val="24"/>
                <w:szCs w:val="24"/>
              </w:rPr>
              <w:t>8</w:t>
            </w:r>
            <w:r w:rsidR="006611F5"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2CB7864A" w14:textId="35610612" w:rsidR="00A71EC8" w:rsidRPr="00F56A60" w:rsidRDefault="00F56A60" w:rsidP="00F56A60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A60">
              <w:rPr>
                <w:rFonts w:ascii="Times New Roman" w:hAnsi="Times New Roman"/>
                <w:sz w:val="24"/>
                <w:szCs w:val="24"/>
              </w:rPr>
              <w:t xml:space="preserve">los conceptos, métodos o tecnologías de la PP y de la NGP </w:t>
            </w:r>
            <w:proofErr w:type="gramStart"/>
            <w:r w:rsidRPr="00F56A60">
              <w:rPr>
                <w:rFonts w:ascii="Times New Roman" w:hAnsi="Times New Roman"/>
                <w:sz w:val="24"/>
                <w:szCs w:val="24"/>
              </w:rPr>
              <w:t>han sido entendidos</w:t>
            </w:r>
            <w:proofErr w:type="gramEnd"/>
            <w:r w:rsidRPr="00F56A60">
              <w:rPr>
                <w:rFonts w:ascii="Times New Roman" w:hAnsi="Times New Roman"/>
                <w:sz w:val="24"/>
                <w:szCs w:val="24"/>
              </w:rPr>
              <w:t xml:space="preserve"> o practicados a partir del enfoque de la gobernabilidad o de la gobernanza. Muchos gobiernos de nuestros países han empleado sus métodos y tecnologías con el propósito de restablecer su capacidad directiva debilitada y la gobernabilidad, o bien lo han hecho con el propósito o el resultado de dar forma a un nuevo proceso de gobierno más eficaz y acaso socialmente más aceptado, en tanto se practica con la participación de la sociedad: a una nueva gobernanza.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3CCBAB27" w14:textId="7F6B4712" w:rsidR="006611F5" w:rsidRPr="00154B2D" w:rsidRDefault="006611F5" w:rsidP="006611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B0ACF" w:rsidRPr="00154B2D" w14:paraId="1CB228EE" w14:textId="77777777" w:rsidTr="3F51EF3A">
        <w:tc>
          <w:tcPr>
            <w:tcW w:w="9923" w:type="dxa"/>
          </w:tcPr>
          <w:p w14:paraId="7BD104CD" w14:textId="6E1AF0B8" w:rsidR="00EB0ACF" w:rsidRPr="00154B2D" w:rsidRDefault="009D6BC5" w:rsidP="000A4AA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1.4 Referencias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teóricas y conceptuales del texto</w:t>
            </w:r>
          </w:p>
        </w:tc>
      </w:tr>
      <w:tr w:rsidR="00EB0ACF" w:rsidRPr="00154B2D" w14:paraId="150A8B0C" w14:textId="77777777" w:rsidTr="3F51EF3A">
        <w:trPr>
          <w:trHeight w:val="345"/>
        </w:trPr>
        <w:tc>
          <w:tcPr>
            <w:tcW w:w="9923" w:type="dxa"/>
          </w:tcPr>
          <w:p w14:paraId="110886A2" w14:textId="74196C02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Achard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D. y Flores, M. (1997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>), Gobernabilidad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: un reportaje de América Latina, México, Fondo de Cultura Económica, PNUD.</w:t>
            </w:r>
          </w:p>
          <w:p w14:paraId="5FAA80D5" w14:textId="198B3EEB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Aguilar Villanueva, Luis F. (2006), Gobernanza y gestión pública,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Fondo de Cultura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Económica.</w:t>
            </w:r>
          </w:p>
          <w:p w14:paraId="40F219A8" w14:textId="77227DEE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BID (2005),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Politics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of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Policies:Economic</w:t>
            </w:r>
            <w:proofErr w:type="spellEnd"/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and Social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Progress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in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Latin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America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Washington, BID.</w:t>
            </w:r>
          </w:p>
          <w:p w14:paraId="16D04ACD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(1995), Gobernabilidad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democracia, México, Instituto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Federal Electoral.</w:t>
            </w:r>
          </w:p>
          <w:p w14:paraId="464E4F70" w14:textId="55E4E855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Crozier, M.; Huntington, S.;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Watanuki, J. (1975),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Crisis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of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Democracy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New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York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55451EE1" w14:textId="389D558A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Dagnino, E.; Olvera, A. J.;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Panfichi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 (2006),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disputa por la construcción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democrática en América Latina,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Fondo de Cultura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Económica.</w:t>
            </w:r>
          </w:p>
          <w:p w14:paraId="706BE28B" w14:textId="131881F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Riz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Liliana (2001), "La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construcción de un orden político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democrático: el caso argentino",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en Globalización, identidad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democracia, J. Labastida y </w:t>
            </w:r>
            <w:proofErr w:type="spellStart"/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A.Camou</w:t>
            </w:r>
            <w:proofErr w:type="spellEnd"/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 México, Siglo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XXI.</w:t>
            </w:r>
          </w:p>
          <w:p w14:paraId="7944F548" w14:textId="0410E2DA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Flisfish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(1989), "Gobernabilidad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consolidación democrática: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sugerencias para la discusión", en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Revista Mexicana de Sociología,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Año 11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N°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3, México.</w:t>
            </w:r>
          </w:p>
          <w:p w14:paraId="29255962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Kooiman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, J. (2003),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as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 Sage.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6401E0FC" w14:textId="157AABE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Kooiman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J. (ed.) (1993), Modern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: New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-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Society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Interactions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Sage.</w:t>
            </w:r>
          </w:p>
          <w:p w14:paraId="77E4B40F" w14:textId="503F095F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Labastida, Julio (2001), "Legitimidad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cambio del régimen político en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México", en Globalización,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identidad y democracia, J.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Labastida y A.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México, Siglo XXI.</w:t>
            </w:r>
          </w:p>
          <w:p w14:paraId="531FBADB" w14:textId="77777777" w:rsidR="00B64C0A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Labastida, J. y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Camou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A.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coords</w:t>
            </w:r>
            <w:proofErr w:type="spellEnd"/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.)(</w:t>
            </w:r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2001), Globalización, identidad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y democracia, México, Siglo XXI.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274D9CD9" w14:textId="1B759FCB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Malloy, J. (1993), "Política 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económica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e o problema da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governabilidade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democrática nos Andes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Centrais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>”, en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Estado, mercado </w:t>
            </w:r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democracia: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política e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economia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comparadas,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L. Sola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comp.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), São Paulo,</w:t>
            </w:r>
          </w:p>
          <w:p w14:paraId="05214799" w14:textId="27049387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Paz e Terra.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Pardo, M. C. (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comp.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), (2004), De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administración pública a la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gobernanza, México, El Colegio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 México.</w:t>
            </w:r>
          </w:p>
          <w:p w14:paraId="4882766D" w14:textId="4D1DFA84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Pierre, J. (ed.) (2000),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Debating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Oxford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0024DD7E" w14:textId="7E910B96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Pierre, J. y Peters, B. G. (2000),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The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New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London,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MacMillan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PNUD (1997),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Reconceptualising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New York, PNUD.</w:t>
            </w:r>
          </w:p>
          <w:p w14:paraId="633ADDB0" w14:textId="404BAE83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Prats, J. (2004), "De la burocracia al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management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y del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management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la gobernanza", en Instituciones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Desarrollo,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N°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3, Barcelona.</w:t>
            </w:r>
          </w:p>
          <w:p w14:paraId="1DFF6879" w14:textId="31C439EE" w:rsidR="006611F5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Rhodes, R. W. A. (1997),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Understanding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Buckingham, Open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"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and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Public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Administration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", </w:t>
            </w:r>
            <w:proofErr w:type="gram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en </w:t>
            </w:r>
            <w: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Debating</w:t>
            </w:r>
            <w:proofErr w:type="spellEnd"/>
            <w:proofErr w:type="gram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Governance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, J. Pierre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(ed.), New York, Oxford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Press</w:t>
            </w:r>
            <w:proofErr w:type="spellEnd"/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7E314DD4" w14:textId="77777777" w:rsidR="00EB0ACF" w:rsidRPr="00B64C0A" w:rsidRDefault="006611F5" w:rsidP="00B64C0A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Weber, Max (1964), Economía y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sociedad, México, Fondo de</w:t>
            </w:r>
            <w:r w:rsidR="00B64C0A" w:rsidRPr="00B64C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64C0A">
              <w:rPr>
                <w:rFonts w:ascii="Times New Roman" w:hAnsi="Times New Roman"/>
                <w:i/>
                <w:sz w:val="24"/>
                <w:szCs w:val="24"/>
              </w:rPr>
              <w:t>Cultura Económica</w:t>
            </w:r>
          </w:p>
          <w:p w14:paraId="79D9010F" w14:textId="1DDB3948" w:rsidR="00B64C0A" w:rsidRPr="00154B2D" w:rsidRDefault="00B64C0A" w:rsidP="00B64C0A">
            <w:pPr>
              <w:spacing w:after="0"/>
              <w:ind w:left="3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B0ACF" w:rsidRPr="00154B2D" w14:paraId="53DAA041" w14:textId="77777777" w:rsidTr="3F51EF3A">
        <w:tc>
          <w:tcPr>
            <w:tcW w:w="9923" w:type="dxa"/>
          </w:tcPr>
          <w:p w14:paraId="0DDC349A" w14:textId="0EA3F24C" w:rsidR="00EB0ACF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2. Componente Metodológico</w:t>
            </w:r>
          </w:p>
        </w:tc>
      </w:tr>
      <w:tr w:rsidR="00967950" w:rsidRPr="00154B2D" w14:paraId="4480EC14" w14:textId="77777777" w:rsidTr="3F51EF3A">
        <w:tc>
          <w:tcPr>
            <w:tcW w:w="9923" w:type="dxa"/>
          </w:tcPr>
          <w:p w14:paraId="1EFBFF61" w14:textId="7764DCCC" w:rsidR="00967950" w:rsidRPr="00154B2D" w:rsidRDefault="009D6BC5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2.1 Estructura</w:t>
            </w:r>
            <w:r w:rsidR="00967950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 del texto (introducción, sección teórica, sección de contexto</w:t>
            </w:r>
          </w:p>
        </w:tc>
      </w:tr>
      <w:tr w:rsidR="00EB0ACF" w:rsidRPr="00154B2D" w14:paraId="3DF8467F" w14:textId="77777777" w:rsidTr="3F51EF3A">
        <w:tc>
          <w:tcPr>
            <w:tcW w:w="9923" w:type="dxa"/>
          </w:tcPr>
          <w:p w14:paraId="3DDD0802" w14:textId="77777777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Introducción</w:t>
            </w:r>
          </w:p>
          <w:p w14:paraId="63890A38" w14:textId="42C29C02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Gobierno y proceso de gobierno</w:t>
            </w:r>
          </w:p>
          <w:p w14:paraId="1B59E9DA" w14:textId="05B25B5F" w:rsid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Gobernabilidad y Gobernanza</w:t>
            </w:r>
          </w:p>
          <w:p w14:paraId="26681222" w14:textId="47BB44B7" w:rsidR="00F56A60" w:rsidRPr="00F56A60" w:rsidRDefault="00F56A60" w:rsidP="0039381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El concepto de gobernanza: memorando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conceptua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  <w:p w14:paraId="160C748C" w14:textId="4AC51C89" w:rsidR="00F56A60" w:rsidRPr="00F56A60" w:rsidRDefault="00F56A60" w:rsidP="00F701C6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/>
                <w:sz w:val="24"/>
                <w:szCs w:val="24"/>
              </w:rPr>
              <w:t>Política Pública y Nueva Gestión Pública en relación con los enfoques de Gobernabilidad y Gobernanza</w:t>
            </w:r>
          </w:p>
          <w:p w14:paraId="6974A0AB" w14:textId="473FFDD0" w:rsidR="00F56A60" w:rsidRPr="00F56A60" w:rsidRDefault="00F56A60" w:rsidP="00F56A60">
            <w:pPr>
              <w:pStyle w:val="Prrafodelista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Notas</w:t>
            </w:r>
          </w:p>
          <w:p w14:paraId="6454CC4F" w14:textId="5DBCBE72" w:rsidR="001566D0" w:rsidRPr="00154B2D" w:rsidRDefault="00F56A60" w:rsidP="007934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En la introducción, el autor presenta el objetivo y el marco teórico del texto. </w:t>
            </w:r>
            <w:r w:rsidR="007934AE">
              <w:rPr>
                <w:rFonts w:ascii="Times New Roman" w:hAnsi="Times New Roman"/>
                <w:bCs/>
                <w:sz w:val="24"/>
                <w:szCs w:val="24"/>
              </w:rPr>
              <w:t xml:space="preserve">En la segunda sección, se analizan los pasos que ha dado el Gobierno encaminándose hacia la gobernanza. 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tercera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explica el concepto de política pública y de la nueva gestión pública. 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cuarta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define el término gobernanza y su evolución en el tiempo. En la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quinta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sección, se presenta el aporte de la política pública y de la nueva gestión pública a la gobernanza, a través de cuatro tesis. Finalmente, en la sección de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Notas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>, el autor resume los principales puntos del texto y hac</w:t>
            </w:r>
            <w:r w:rsidR="007934AE">
              <w:rPr>
                <w:rFonts w:ascii="Times New Roman" w:hAnsi="Times New Roman"/>
                <w:bCs/>
                <w:sz w:val="24"/>
                <w:szCs w:val="24"/>
              </w:rPr>
              <w:t>iendo</w:t>
            </w:r>
            <w:r w:rsidRPr="00F56A60">
              <w:rPr>
                <w:rFonts w:ascii="Times New Roman" w:hAnsi="Times New Roman"/>
                <w:bCs/>
                <w:sz w:val="24"/>
                <w:szCs w:val="24"/>
              </w:rPr>
              <w:t xml:space="preserve"> una reflexión.</w:t>
            </w:r>
          </w:p>
          <w:p w14:paraId="4B26D24E" w14:textId="77777777" w:rsidR="001566D0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35FCD17" w14:textId="77777777" w:rsidR="005E0CA7" w:rsidRDefault="005E0CA7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AC3EF6" w14:textId="2B5EEABB" w:rsidR="005E0CA7" w:rsidRPr="00154B2D" w:rsidRDefault="005E0CA7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782" w:rsidRPr="00154B2D" w14:paraId="6095E6CC" w14:textId="77777777" w:rsidTr="3F51EF3A">
        <w:tc>
          <w:tcPr>
            <w:tcW w:w="9923" w:type="dxa"/>
          </w:tcPr>
          <w:p w14:paraId="78B55BF6" w14:textId="1F1B2E1A" w:rsidR="00300782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2.2 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Datos: Fuente de los datos: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¿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>quién los produce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</w:tr>
      <w:tr w:rsidR="00300782" w:rsidRPr="00154B2D" w14:paraId="0AF8FBAC" w14:textId="77777777" w:rsidTr="3F51EF3A">
        <w:trPr>
          <w:trHeight w:val="1017"/>
        </w:trPr>
        <w:tc>
          <w:tcPr>
            <w:tcW w:w="9923" w:type="dxa"/>
          </w:tcPr>
          <w:p w14:paraId="71C418D1" w14:textId="22D3CBA3" w:rsidR="00300782" w:rsidRPr="00154B2D" w:rsidRDefault="005E0CA7" w:rsidP="000A4A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0CA7">
              <w:rPr>
                <w:rFonts w:ascii="Times New Roman" w:hAnsi="Times New Roman"/>
                <w:sz w:val="24"/>
                <w:szCs w:val="24"/>
              </w:rPr>
              <w:t>libros, artículos, informes y estadísticas de organismos internacionales</w:t>
            </w:r>
          </w:p>
        </w:tc>
      </w:tr>
      <w:tr w:rsidR="00300782" w:rsidRPr="00154B2D" w14:paraId="6066C8A0" w14:textId="77777777" w:rsidTr="3F51EF3A">
        <w:tc>
          <w:tcPr>
            <w:tcW w:w="9923" w:type="dxa"/>
          </w:tcPr>
          <w:p w14:paraId="0CDB9EC6" w14:textId="348326B3" w:rsidR="00300782" w:rsidRPr="00154B2D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2.3 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 xml:space="preserve">Herramientas metodológicas (entrevistas, estadísticas, revisión de prensa, revisión normativa, cualitativo, cuantitativo, </w:t>
            </w:r>
            <w:r w:rsidR="00971E48" w:rsidRPr="00154B2D">
              <w:rPr>
                <w:rFonts w:ascii="Times New Roman" w:hAnsi="Times New Roman"/>
                <w:b/>
                <w:sz w:val="24"/>
                <w:szCs w:val="24"/>
              </w:rPr>
              <w:t>etc.</w:t>
            </w:r>
            <w:r w:rsidR="00300782" w:rsidRPr="00154B2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0782" w:rsidRPr="00154B2D" w14:paraId="3CAF1CD4" w14:textId="77777777" w:rsidTr="3F51EF3A">
        <w:trPr>
          <w:trHeight w:val="1622"/>
        </w:trPr>
        <w:tc>
          <w:tcPr>
            <w:tcW w:w="9923" w:type="dxa"/>
          </w:tcPr>
          <w:p w14:paraId="0EC55912" w14:textId="77777777" w:rsidR="006F071D" w:rsidRDefault="001D74AF" w:rsidP="001D74AF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4AF">
              <w:rPr>
                <w:rFonts w:ascii="Times New Roman" w:hAnsi="Times New Roman"/>
                <w:sz w:val="24"/>
                <w:szCs w:val="24"/>
              </w:rPr>
              <w:t>Su mérito fue estudiar el proceso decisorio de las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políticas, que no era objeto de conocimiento ni de la ciencia política ni de la AP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analizarlo metódicamente para mejora de las decisiones, así como identificar 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ordenar los componentes que integran el proceso de políticas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1CC84724" w14:textId="12D7E341" w:rsidR="001D74AF" w:rsidRDefault="001D74AF" w:rsidP="001D74AF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Estudio</w:t>
            </w:r>
          </w:p>
          <w:p w14:paraId="622B92E4" w14:textId="2F963E13" w:rsidR="001D74AF" w:rsidRPr="001D74AF" w:rsidRDefault="001D74AF" w:rsidP="001D74AF">
            <w:pPr>
              <w:pStyle w:val="Prrafodelista"/>
              <w:numPr>
                <w:ilvl w:val="1"/>
                <w:numId w:val="2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Análisis metódico</w:t>
            </w:r>
          </w:p>
        </w:tc>
      </w:tr>
      <w:tr w:rsidR="00300782" w:rsidRPr="00154B2D" w14:paraId="6BAC7D78" w14:textId="77777777" w:rsidTr="3F51EF3A">
        <w:tc>
          <w:tcPr>
            <w:tcW w:w="9923" w:type="dxa"/>
          </w:tcPr>
          <w:p w14:paraId="24F1CF5A" w14:textId="77777777" w:rsidR="00300782" w:rsidRPr="00154B2D" w:rsidRDefault="0030078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54B2D">
              <w:rPr>
                <w:rFonts w:ascii="Times New Roman" w:hAnsi="Times New Roman"/>
                <w:b/>
                <w:sz w:val="24"/>
                <w:szCs w:val="24"/>
              </w:rPr>
              <w:t>Conclusiones</w:t>
            </w:r>
          </w:p>
        </w:tc>
      </w:tr>
      <w:tr w:rsidR="00300782" w:rsidRPr="00154B2D" w14:paraId="31C5161F" w14:textId="77777777" w:rsidTr="3F51EF3A">
        <w:trPr>
          <w:trHeight w:val="965"/>
        </w:trPr>
        <w:tc>
          <w:tcPr>
            <w:tcW w:w="9923" w:type="dxa"/>
          </w:tcPr>
          <w:p w14:paraId="1FE8ADF1" w14:textId="4C9B8EEC" w:rsidR="0075455E" w:rsidRPr="0075455E" w:rsidRDefault="001D74AF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4AF">
              <w:rPr>
                <w:rFonts w:ascii="Times New Roman" w:hAnsi="Times New Roman"/>
                <w:sz w:val="24"/>
                <w:szCs w:val="24"/>
              </w:rPr>
              <w:t>la política pública (PP) o la nueva gestión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pública (NGP) han sido propuestas disciplinarias y profesionales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 xml:space="preserve">que </w:t>
            </w:r>
            <w:proofErr w:type="gramStart"/>
            <w:r w:rsidRPr="001D74AF">
              <w:rPr>
                <w:rFonts w:ascii="Times New Roman" w:hAnsi="Times New Roman"/>
                <w:sz w:val="24"/>
                <w:szCs w:val="24"/>
              </w:rPr>
              <w:t>han sido procesadas</w:t>
            </w:r>
            <w:proofErr w:type="gramEnd"/>
            <w:r w:rsidRPr="001D74AF">
              <w:rPr>
                <w:rFonts w:ascii="Times New Roman" w:hAnsi="Times New Roman"/>
                <w:sz w:val="24"/>
                <w:szCs w:val="24"/>
              </w:rPr>
              <w:t xml:space="preserve"> desde el enfoque de la gobernabilidad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de la gobernanza y que sus resultados (si no los propósitos) 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contribuido a difundir una nueva relación directiva entre gobierno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4AF">
              <w:rPr>
                <w:rFonts w:ascii="Times New Roman" w:hAnsi="Times New Roman"/>
                <w:sz w:val="24"/>
                <w:szCs w:val="24"/>
              </w:rPr>
              <w:t>y sociedad, llamada Gobernanza o Nueva Gobernanza.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 w:rsidR="0075455E"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07A7CB7B" w14:textId="313334B0" w:rsidR="0075455E" w:rsidRDefault="0075455E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55E">
              <w:rPr>
                <w:rFonts w:ascii="Times New Roman" w:hAnsi="Times New Roman"/>
                <w:sz w:val="24"/>
                <w:szCs w:val="24"/>
              </w:rPr>
              <w:t>la gobernanza (o gobernanza nueva, moderna) es un concepto que describe y explica la descentralización que caracteriza al actual proceso de dirección de la sociedad, su multipolaridad, su carácter de sistema (</w:t>
            </w:r>
            <w:proofErr w:type="spellStart"/>
            <w:r w:rsidRPr="0075455E">
              <w:rPr>
                <w:rFonts w:ascii="Times New Roman" w:hAnsi="Times New Roman"/>
                <w:sz w:val="24"/>
                <w:szCs w:val="24"/>
              </w:rPr>
              <w:t>governance</w:t>
            </w:r>
            <w:proofErr w:type="spellEnd"/>
            <w:r w:rsidRPr="007545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5455E">
              <w:rPr>
                <w:rFonts w:ascii="Times New Roman" w:hAnsi="Times New Roman"/>
                <w:sz w:val="24"/>
                <w:szCs w:val="24"/>
              </w:rPr>
              <w:t>system</w:t>
            </w:r>
            <w:proofErr w:type="spellEnd"/>
            <w:r w:rsidRPr="0075455E">
              <w:rPr>
                <w:rFonts w:ascii="Times New Roman" w:hAnsi="Times New Roman"/>
                <w:sz w:val="24"/>
                <w:szCs w:val="24"/>
              </w:rPr>
              <w:t xml:space="preserve">, PNUD) y que ha dado pie al concepto o metáfora de "gobernanza por redes" o "gobernanza participativa" (UNCEPA / UNDESA), que </w:t>
            </w:r>
            <w:proofErr w:type="gramStart"/>
            <w:r w:rsidRPr="0075455E">
              <w:rPr>
                <w:rFonts w:ascii="Times New Roman" w:hAnsi="Times New Roman"/>
                <w:sz w:val="24"/>
                <w:szCs w:val="24"/>
              </w:rPr>
              <w:t>en razón de</w:t>
            </w:r>
            <w:proofErr w:type="gramEnd"/>
            <w:r w:rsidRPr="0075455E">
              <w:rPr>
                <w:rFonts w:ascii="Times New Roman" w:hAnsi="Times New Roman"/>
                <w:sz w:val="24"/>
                <w:szCs w:val="24"/>
              </w:rPr>
              <w:t xml:space="preserve"> la sinergia de los recursos públicos, privados y sociales incrementa la claridad, capacidad y eficacia directiva de una sociedad.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14791503" w14:textId="5873C194" w:rsidR="0075455E" w:rsidRPr="0075455E" w:rsidRDefault="0075455E" w:rsidP="0075455E">
            <w:pPr>
              <w:pStyle w:val="Prrafodelista"/>
              <w:numPr>
                <w:ilvl w:val="0"/>
                <w:numId w:val="26"/>
              </w:numPr>
              <w:spacing w:after="0"/>
              <w:ind w:left="3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455E">
              <w:rPr>
                <w:rFonts w:ascii="Times New Roman" w:hAnsi="Times New Roman"/>
                <w:sz w:val="24"/>
                <w:szCs w:val="24"/>
              </w:rPr>
              <w:t>La nueva gobernanza es el resultado de lo que los gobiernos emprendieron para reconstruir su capacidad directiva y lo que numerosos grupos ciudadanos, con el ímpetu de la democracia, emprendieron para tener voz y participar en la deliberación de los asuntos de la realidad pública y tener control sobre su conducción.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(Aguilar,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6611F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3565343" w14:textId="45804168" w:rsidR="006E40FA" w:rsidRPr="00154B2D" w:rsidRDefault="006E40FA" w:rsidP="001D74A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D9A8D3" w14:textId="51159334" w:rsidR="00F71FDD" w:rsidRDefault="00F71FDD" w:rsidP="00967950">
      <w:pPr>
        <w:jc w:val="center"/>
        <w:rPr>
          <w:rFonts w:ascii="Arial" w:hAnsi="Arial" w:cs="Arial"/>
          <w:b/>
          <w:sz w:val="32"/>
          <w:szCs w:val="32"/>
        </w:rPr>
      </w:pPr>
    </w:p>
    <w:p w14:paraId="484F4165" w14:textId="3A514287" w:rsidR="005E0CA7" w:rsidRDefault="005E0CA7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r w:rsidRPr="00785062">
        <w:rPr>
          <w:rFonts w:ascii="Times New Roman" w:hAnsi="Times New Roman"/>
          <w:sz w:val="24"/>
          <w:szCs w:val="24"/>
        </w:rPr>
        <w:t>Elaboración de la Ficha de Lectura por: Luis Enrique Guerrero Ibarra, ESAP.</w:t>
      </w:r>
      <w:r>
        <w:rPr>
          <w:rFonts w:ascii="Times New Roman" w:hAnsi="Times New Roman"/>
          <w:sz w:val="24"/>
          <w:szCs w:val="24"/>
        </w:rPr>
        <w:t xml:space="preserve"> Bogotá.</w:t>
      </w:r>
    </w:p>
    <w:p w14:paraId="5A72048A" w14:textId="6325179E" w:rsidR="00790443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</w:p>
    <w:p w14:paraId="21080169" w14:textId="07DEBD1C" w:rsidR="00790443" w:rsidRPr="00790443" w:rsidRDefault="00790443" w:rsidP="005E0CA7">
      <w:pPr>
        <w:spacing w:after="0"/>
        <w:ind w:left="-49"/>
        <w:jc w:val="both"/>
        <w:rPr>
          <w:rFonts w:ascii="Times New Roman" w:hAnsi="Times New Roman"/>
          <w:b/>
          <w:bCs/>
          <w:sz w:val="24"/>
          <w:szCs w:val="24"/>
        </w:rPr>
      </w:pPr>
      <w:r w:rsidRPr="00790443">
        <w:rPr>
          <w:rFonts w:ascii="Times New Roman" w:hAnsi="Times New Roman"/>
          <w:b/>
          <w:bCs/>
          <w:sz w:val="24"/>
          <w:szCs w:val="24"/>
        </w:rPr>
        <w:t xml:space="preserve">Resumen: </w:t>
      </w:r>
      <w:r w:rsidRPr="00790443">
        <w:rPr>
          <w:rFonts w:ascii="Times New Roman" w:hAnsi="Times New Roman"/>
          <w:b/>
          <w:bCs/>
          <w:sz w:val="24"/>
          <w:szCs w:val="24"/>
        </w:rPr>
        <w:br/>
      </w:r>
      <w:r w:rsidRPr="00790443">
        <w:rPr>
          <w:rFonts w:ascii="Times New Roman" w:hAnsi="Times New Roman"/>
          <w:sz w:val="24"/>
          <w:szCs w:val="24"/>
        </w:rPr>
        <w:t>El artículo de Luis F. Aguilar analiza el concepto de gobernanza y su relación con la política pública y la nueva gestión pública. El autor sostiene que la gobernanza es un proceso de dirección colectiva que implica la participación de diversos actores sociales e institucionales en la definición y solución de problemas públicos. La política pública y la nueva gestión pública son dos enfoques que contribuyen a la gobernanza al ofrecer herramientas conceptuales y metodológicas para el análisis, diseño, implementación y evaluación de las acciones gubernamentales. El autor revisa los principales aportes y limitaciones de estos enfoques y propone una agenda de investigación para avanzar en el conocimiento y la práctica de la gobernanza.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br/>
      </w:r>
      <w:proofErr w:type="spellStart"/>
      <w:r w:rsidRPr="00790443">
        <w:rPr>
          <w:rFonts w:ascii="Times New Roman" w:hAnsi="Times New Roman"/>
          <w:b/>
          <w:bCs/>
          <w:sz w:val="24"/>
          <w:szCs w:val="24"/>
        </w:rPr>
        <w:t>Abstract</w:t>
      </w:r>
      <w:proofErr w:type="spellEnd"/>
      <w:r w:rsidRPr="00790443">
        <w:rPr>
          <w:rFonts w:ascii="Times New Roman" w:hAnsi="Times New Roman"/>
          <w:b/>
          <w:bCs/>
          <w:sz w:val="24"/>
          <w:szCs w:val="24"/>
        </w:rPr>
        <w:t>:</w:t>
      </w:r>
    </w:p>
    <w:p w14:paraId="0A74BAC2" w14:textId="07098343" w:rsidR="00790443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article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by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Luis F. Aguilar </w:t>
      </w:r>
      <w:proofErr w:type="spellStart"/>
      <w:r w:rsidRPr="00790443">
        <w:rPr>
          <w:rFonts w:ascii="Times New Roman" w:hAnsi="Times New Roman"/>
          <w:sz w:val="24"/>
          <w:szCs w:val="24"/>
        </w:rPr>
        <w:t>analyzes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concept </w:t>
      </w:r>
      <w:proofErr w:type="spellStart"/>
      <w:r w:rsidRPr="00790443">
        <w:rPr>
          <w:rFonts w:ascii="Times New Roman" w:hAnsi="Times New Roman"/>
          <w:sz w:val="24"/>
          <w:szCs w:val="24"/>
        </w:rPr>
        <w:t>of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governance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90443">
        <w:rPr>
          <w:rFonts w:ascii="Times New Roman" w:hAnsi="Times New Roman"/>
          <w:sz w:val="24"/>
          <w:szCs w:val="24"/>
        </w:rPr>
        <w:t>its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relationship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with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public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policy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and new </w:t>
      </w:r>
      <w:proofErr w:type="spellStart"/>
      <w:r w:rsidRPr="00790443">
        <w:rPr>
          <w:rFonts w:ascii="Times New Roman" w:hAnsi="Times New Roman"/>
          <w:sz w:val="24"/>
          <w:szCs w:val="24"/>
        </w:rPr>
        <w:t>public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management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author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argues </w:t>
      </w:r>
      <w:proofErr w:type="spellStart"/>
      <w:r w:rsidRPr="00790443">
        <w:rPr>
          <w:rFonts w:ascii="Times New Roman" w:hAnsi="Times New Roman"/>
          <w:sz w:val="24"/>
          <w:szCs w:val="24"/>
        </w:rPr>
        <w:t>that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governance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is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90443">
        <w:rPr>
          <w:rFonts w:ascii="Times New Roman" w:hAnsi="Times New Roman"/>
          <w:sz w:val="24"/>
          <w:szCs w:val="24"/>
        </w:rPr>
        <w:t>collective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management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process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that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involves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participation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of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various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social and </w:t>
      </w:r>
      <w:proofErr w:type="spellStart"/>
      <w:r w:rsidRPr="00790443">
        <w:rPr>
          <w:rFonts w:ascii="Times New Roman" w:hAnsi="Times New Roman"/>
          <w:sz w:val="24"/>
          <w:szCs w:val="24"/>
        </w:rPr>
        <w:t>institutional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actors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definition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90443">
        <w:rPr>
          <w:rFonts w:ascii="Times New Roman" w:hAnsi="Times New Roman"/>
          <w:sz w:val="24"/>
          <w:szCs w:val="24"/>
        </w:rPr>
        <w:t>solution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of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public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problems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90443">
        <w:rPr>
          <w:rFonts w:ascii="Times New Roman" w:hAnsi="Times New Roman"/>
          <w:sz w:val="24"/>
          <w:szCs w:val="24"/>
        </w:rPr>
        <w:t>Public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policy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and new </w:t>
      </w:r>
      <w:proofErr w:type="spellStart"/>
      <w:r w:rsidRPr="00790443">
        <w:rPr>
          <w:rFonts w:ascii="Times New Roman" w:hAnsi="Times New Roman"/>
          <w:sz w:val="24"/>
          <w:szCs w:val="24"/>
        </w:rPr>
        <w:t>public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management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790443">
        <w:rPr>
          <w:rFonts w:ascii="Times New Roman" w:hAnsi="Times New Roman"/>
          <w:sz w:val="24"/>
          <w:szCs w:val="24"/>
        </w:rPr>
        <w:t>two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approaches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that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contribute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to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governance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by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offering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conceptual and </w:t>
      </w:r>
      <w:proofErr w:type="spellStart"/>
      <w:r w:rsidRPr="00790443">
        <w:rPr>
          <w:rFonts w:ascii="Times New Roman" w:hAnsi="Times New Roman"/>
          <w:sz w:val="24"/>
          <w:szCs w:val="24"/>
        </w:rPr>
        <w:t>methodological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tools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for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analysis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0443">
        <w:rPr>
          <w:rFonts w:ascii="Times New Roman" w:hAnsi="Times New Roman"/>
          <w:sz w:val="24"/>
          <w:szCs w:val="24"/>
        </w:rPr>
        <w:t>design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90443">
        <w:rPr>
          <w:rFonts w:ascii="Times New Roman" w:hAnsi="Times New Roman"/>
          <w:sz w:val="24"/>
          <w:szCs w:val="24"/>
        </w:rPr>
        <w:t>implementation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Pr="00790443">
        <w:rPr>
          <w:rFonts w:ascii="Times New Roman" w:hAnsi="Times New Roman"/>
          <w:sz w:val="24"/>
          <w:szCs w:val="24"/>
        </w:rPr>
        <w:t>evaluation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of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government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actions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author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reviews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the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main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contributions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90443">
        <w:rPr>
          <w:rFonts w:ascii="Times New Roman" w:hAnsi="Times New Roman"/>
          <w:sz w:val="24"/>
          <w:szCs w:val="24"/>
        </w:rPr>
        <w:t>limitations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of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these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approaches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90443">
        <w:rPr>
          <w:rFonts w:ascii="Times New Roman" w:hAnsi="Times New Roman"/>
          <w:sz w:val="24"/>
          <w:szCs w:val="24"/>
        </w:rPr>
        <w:t>proposes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90443">
        <w:rPr>
          <w:rFonts w:ascii="Times New Roman" w:hAnsi="Times New Roman"/>
          <w:sz w:val="24"/>
          <w:szCs w:val="24"/>
        </w:rPr>
        <w:t>research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agenda </w:t>
      </w:r>
      <w:proofErr w:type="spellStart"/>
      <w:r w:rsidRPr="00790443">
        <w:rPr>
          <w:rFonts w:ascii="Times New Roman" w:hAnsi="Times New Roman"/>
          <w:sz w:val="24"/>
          <w:szCs w:val="24"/>
        </w:rPr>
        <w:t>to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advance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knowledge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90443">
        <w:rPr>
          <w:rFonts w:ascii="Times New Roman" w:hAnsi="Times New Roman"/>
          <w:sz w:val="24"/>
          <w:szCs w:val="24"/>
        </w:rPr>
        <w:t>practice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of</w:t>
      </w:r>
      <w:proofErr w:type="spellEnd"/>
      <w:r w:rsidRPr="00790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443">
        <w:rPr>
          <w:rFonts w:ascii="Times New Roman" w:hAnsi="Times New Roman"/>
          <w:sz w:val="24"/>
          <w:szCs w:val="24"/>
        </w:rPr>
        <w:t>governance</w:t>
      </w:r>
      <w:proofErr w:type="spellEnd"/>
      <w:r w:rsidRPr="00790443">
        <w:rPr>
          <w:rFonts w:ascii="Times New Roman" w:hAnsi="Times New Roman"/>
          <w:sz w:val="24"/>
          <w:szCs w:val="24"/>
        </w:rPr>
        <w:t>.</w:t>
      </w:r>
    </w:p>
    <w:p w14:paraId="12FD5BA3" w14:textId="1CB13BD5" w:rsidR="00790443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</w:p>
    <w:p w14:paraId="56511605" w14:textId="7FC6AE21" w:rsidR="00790443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</w:p>
    <w:p w14:paraId="041332E9" w14:textId="7F08D7C5" w:rsidR="00790443" w:rsidRPr="00876754" w:rsidRDefault="00790443" w:rsidP="005E0CA7">
      <w:pPr>
        <w:spacing w:after="0"/>
        <w:ind w:left="-49"/>
        <w:jc w:val="both"/>
        <w:rPr>
          <w:rFonts w:ascii="Times New Roman" w:hAnsi="Times New Roman"/>
          <w:b/>
          <w:bCs/>
          <w:sz w:val="24"/>
          <w:szCs w:val="24"/>
        </w:rPr>
      </w:pPr>
      <w:r w:rsidRPr="00876754">
        <w:rPr>
          <w:rFonts w:ascii="Times New Roman" w:hAnsi="Times New Roman"/>
          <w:b/>
          <w:bCs/>
          <w:sz w:val="24"/>
          <w:szCs w:val="24"/>
        </w:rPr>
        <w:t>Tesis:</w:t>
      </w:r>
    </w:p>
    <w:p w14:paraId="2C720C47" w14:textId="77777777" w:rsidR="00790443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r w:rsidRPr="00790443">
        <w:rPr>
          <w:rFonts w:ascii="Times New Roman" w:hAnsi="Times New Roman"/>
          <w:sz w:val="24"/>
          <w:szCs w:val="24"/>
        </w:rPr>
        <w:t xml:space="preserve">El artículo de Aguilar (2007) analiza el concepto de gobernanza desde las perspectivas de la política pública y de la nueva gestión pública. El autor sostiene que la gobernanza implica una transformación de las relaciones entre el Estado, la sociedad y el mercado, que requiere una mayor participación, coordinación y colaboración de los actores sociales. </w:t>
      </w:r>
    </w:p>
    <w:p w14:paraId="7BBCCC5B" w14:textId="24B3015F" w:rsidR="00790443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</w:p>
    <w:p w14:paraId="02487082" w14:textId="472318EC" w:rsidR="00EF434D" w:rsidRDefault="00EF434D" w:rsidP="00EF434D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EF434D">
        <w:rPr>
          <w:rFonts w:ascii="Times New Roman" w:hAnsi="Times New Roman"/>
          <w:sz w:val="24"/>
          <w:szCs w:val="24"/>
        </w:rPr>
        <w:t>gobernanza</w:t>
      </w:r>
      <w:r w:rsidRPr="00EF434D">
        <w:rPr>
          <w:rFonts w:ascii="Times New Roman" w:hAnsi="Times New Roman"/>
          <w:sz w:val="24"/>
          <w:szCs w:val="24"/>
        </w:rPr>
        <w:t xml:space="preserve"> significa el cambio de proceso/modo/patrón de gobierno: 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434D">
        <w:rPr>
          <w:rFonts w:ascii="Times New Roman" w:hAnsi="Times New Roman"/>
          <w:sz w:val="24"/>
          <w:szCs w:val="24"/>
        </w:rPr>
        <w:t>paso de un centro a un sistema de gobierno, en el que se requieren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434D">
        <w:rPr>
          <w:rFonts w:ascii="Times New Roman" w:hAnsi="Times New Roman"/>
          <w:sz w:val="24"/>
          <w:szCs w:val="24"/>
        </w:rPr>
        <w:t>y activan los recursos del poder público, de los mercados y de las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434D">
        <w:rPr>
          <w:rFonts w:ascii="Times New Roman" w:hAnsi="Times New Roman"/>
          <w:sz w:val="24"/>
          <w:szCs w:val="24"/>
        </w:rPr>
        <w:t>redes sociales. En conexión, es el paso de un estilo jerárquico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434D">
        <w:rPr>
          <w:rFonts w:ascii="Times New Roman" w:hAnsi="Times New Roman"/>
          <w:sz w:val="24"/>
          <w:szCs w:val="24"/>
        </w:rPr>
        <w:t>centralizado a un estilo de gobernar asociado e interdependiente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434D">
        <w:rPr>
          <w:rFonts w:ascii="Times New Roman" w:hAnsi="Times New Roman"/>
          <w:sz w:val="24"/>
          <w:szCs w:val="24"/>
        </w:rPr>
        <w:t>entre organismos gubernamentales, organizaciones privadas y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434D">
        <w:rPr>
          <w:rFonts w:ascii="Times New Roman" w:hAnsi="Times New Roman"/>
          <w:sz w:val="24"/>
          <w:szCs w:val="24"/>
        </w:rPr>
        <w:t>sociales.</w:t>
      </w:r>
      <w:r>
        <w:rPr>
          <w:rFonts w:ascii="Times New Roman" w:hAnsi="Times New Roman"/>
          <w:sz w:val="24"/>
          <w:szCs w:val="24"/>
        </w:rPr>
        <w:t xml:space="preserve">” </w:t>
      </w:r>
      <w:r w:rsidRPr="00EF434D">
        <w:rPr>
          <w:rFonts w:ascii="Times New Roman" w:hAnsi="Times New Roman"/>
          <w:sz w:val="24"/>
          <w:szCs w:val="24"/>
        </w:rPr>
        <w:t xml:space="preserve">(Aguilar, 2007, p. </w:t>
      </w:r>
      <w:r>
        <w:rPr>
          <w:rFonts w:ascii="Times New Roman" w:hAnsi="Times New Roman"/>
          <w:sz w:val="24"/>
          <w:szCs w:val="24"/>
        </w:rPr>
        <w:t>18</w:t>
      </w:r>
      <w:r w:rsidRPr="00EF434D">
        <w:rPr>
          <w:rFonts w:ascii="Times New Roman" w:hAnsi="Times New Roman"/>
          <w:sz w:val="24"/>
          <w:szCs w:val="24"/>
        </w:rPr>
        <w:t>)</w:t>
      </w:r>
    </w:p>
    <w:p w14:paraId="6F884924" w14:textId="77777777" w:rsidR="00EF434D" w:rsidRDefault="00EF434D" w:rsidP="00EF434D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</w:p>
    <w:p w14:paraId="3C722DD4" w14:textId="77777777" w:rsidR="00876754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r w:rsidRPr="00790443">
        <w:rPr>
          <w:rFonts w:ascii="Times New Roman" w:hAnsi="Times New Roman"/>
          <w:sz w:val="24"/>
          <w:szCs w:val="24"/>
        </w:rPr>
        <w:t xml:space="preserve">Asimismo, propone que la política pública y la nueva gestión pública son dos enfoques complementarios para mejorar la calidad y la eficacia de la acción pública. La política pública se ocupa de definir los fines y los medios de la intervención estatal, mientras que la nueva gestión pública se enfoca en los procesos y los resultados de la gestión pública. </w:t>
      </w:r>
    </w:p>
    <w:p w14:paraId="6B179C5C" w14:textId="77777777" w:rsidR="00876754" w:rsidRDefault="00876754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</w:p>
    <w:p w14:paraId="558542B6" w14:textId="69FF21A3" w:rsidR="00876754" w:rsidRDefault="00876754" w:rsidP="00876754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876754">
        <w:rPr>
          <w:rFonts w:ascii="Times New Roman" w:hAnsi="Times New Roman"/>
          <w:sz w:val="24"/>
          <w:szCs w:val="24"/>
        </w:rPr>
        <w:t xml:space="preserve">Desde su </w:t>
      </w:r>
      <w:r w:rsidRPr="00876754">
        <w:rPr>
          <w:rFonts w:ascii="Times New Roman" w:hAnsi="Times New Roman"/>
          <w:sz w:val="24"/>
          <w:szCs w:val="24"/>
        </w:rPr>
        <w:t>origen</w:t>
      </w:r>
      <w:r w:rsidRPr="00876754">
        <w:rPr>
          <w:rFonts w:ascii="Times New Roman" w:hAnsi="Times New Roman"/>
          <w:sz w:val="24"/>
          <w:szCs w:val="24"/>
        </w:rPr>
        <w:t>, la PP se ha concentrado en el proceso decisorio del gobierno,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>ha cuestionado numerosas decisiones de gobierno por considerar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 xml:space="preserve">que no están estructuradas cognoscitivamente (información </w:t>
      </w:r>
      <w:r w:rsidRPr="00876754">
        <w:rPr>
          <w:rFonts w:ascii="Times New Roman" w:hAnsi="Times New Roman"/>
          <w:sz w:val="24"/>
          <w:szCs w:val="24"/>
        </w:rPr>
        <w:t>imperfecta</w:t>
      </w:r>
      <w:r w:rsidRPr="00876754">
        <w:rPr>
          <w:rFonts w:ascii="Times New Roman" w:hAnsi="Times New Roman"/>
          <w:sz w:val="24"/>
          <w:szCs w:val="24"/>
        </w:rPr>
        <w:t xml:space="preserve">, análisis económico deficiente y supuestos causales </w:t>
      </w:r>
      <w:r w:rsidRPr="00876754">
        <w:rPr>
          <w:rFonts w:ascii="Times New Roman" w:hAnsi="Times New Roman"/>
          <w:sz w:val="24"/>
          <w:szCs w:val="24"/>
        </w:rPr>
        <w:t>inciertos</w:t>
      </w:r>
      <w:r w:rsidRPr="00876754">
        <w:rPr>
          <w:rFonts w:ascii="Times New Roman" w:hAnsi="Times New Roman"/>
          <w:sz w:val="24"/>
          <w:szCs w:val="24"/>
        </w:rPr>
        <w:t>) y se ha presentado como una disciplina o profesión que posee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 xml:space="preserve">los métodos analíticos apropiados para mejorar la calidad </w:t>
      </w:r>
      <w:r w:rsidRPr="00876754">
        <w:rPr>
          <w:rFonts w:ascii="Times New Roman" w:hAnsi="Times New Roman"/>
          <w:sz w:val="24"/>
          <w:szCs w:val="24"/>
        </w:rPr>
        <w:t>cognoscitiva</w:t>
      </w:r>
      <w:r w:rsidRPr="00876754">
        <w:rPr>
          <w:rFonts w:ascii="Times New Roman" w:hAnsi="Times New Roman"/>
          <w:sz w:val="24"/>
          <w:szCs w:val="24"/>
        </w:rPr>
        <w:t xml:space="preserve"> de las decisiones de gobierno y asegurar así su causalidad, 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 xml:space="preserve">eficacia social y la eficiencia económica17. La </w:t>
      </w:r>
      <w:proofErr w:type="spellStart"/>
      <w:r w:rsidRPr="00876754">
        <w:rPr>
          <w:rFonts w:ascii="Times New Roman" w:hAnsi="Times New Roman"/>
          <w:sz w:val="24"/>
          <w:szCs w:val="24"/>
        </w:rPr>
        <w:t>NGP</w:t>
      </w:r>
      <w:proofErr w:type="spellEnd"/>
      <w:r w:rsidRPr="00876754">
        <w:rPr>
          <w:rFonts w:ascii="Times New Roman" w:hAnsi="Times New Roman"/>
          <w:sz w:val="24"/>
          <w:szCs w:val="24"/>
        </w:rPr>
        <w:t>, por su lado,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>ha prestado atención a la administración pública, ha cuestionado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 xml:space="preserve">su estructura burocrática de organización y operación -la </w:t>
      </w:r>
      <w:r w:rsidRPr="00876754">
        <w:rPr>
          <w:rFonts w:ascii="Times New Roman" w:hAnsi="Times New Roman"/>
          <w:sz w:val="24"/>
          <w:szCs w:val="24"/>
        </w:rPr>
        <w:t>centralización</w:t>
      </w:r>
      <w:r w:rsidRPr="00876754">
        <w:rPr>
          <w:rFonts w:ascii="Times New Roman" w:hAnsi="Times New Roman"/>
          <w:sz w:val="24"/>
          <w:szCs w:val="24"/>
        </w:rPr>
        <w:t xml:space="preserve"> jerárquica y la reglamentación precisa e inalterable- y 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>ha presentado como una disciplina o práctica profesional que posee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76754">
        <w:rPr>
          <w:rFonts w:ascii="Times New Roman" w:hAnsi="Times New Roman"/>
          <w:sz w:val="24"/>
          <w:szCs w:val="24"/>
        </w:rPr>
        <w:t xml:space="preserve">los métodos de reorganización y de trabajo, apropiados para </w:t>
      </w:r>
      <w:r w:rsidRPr="00876754">
        <w:rPr>
          <w:rFonts w:ascii="Times New Roman" w:hAnsi="Times New Roman"/>
          <w:sz w:val="24"/>
          <w:szCs w:val="24"/>
        </w:rPr>
        <w:t>incrementar</w:t>
      </w:r>
      <w:r w:rsidRPr="00876754">
        <w:rPr>
          <w:rFonts w:ascii="Times New Roman" w:hAnsi="Times New Roman"/>
          <w:sz w:val="24"/>
          <w:szCs w:val="24"/>
        </w:rPr>
        <w:t xml:space="preserve"> la eficiencia y mejorar la calidad de la gestión gubernamental</w:t>
      </w:r>
      <w:r w:rsidRPr="0087675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434D">
        <w:rPr>
          <w:rFonts w:ascii="Times New Roman" w:hAnsi="Times New Roman"/>
          <w:sz w:val="24"/>
          <w:szCs w:val="24"/>
        </w:rPr>
        <w:t xml:space="preserve">(Aguilar, 2007, p. </w:t>
      </w:r>
      <w:r>
        <w:rPr>
          <w:rFonts w:ascii="Times New Roman" w:hAnsi="Times New Roman"/>
          <w:sz w:val="24"/>
          <w:szCs w:val="24"/>
        </w:rPr>
        <w:t>18</w:t>
      </w:r>
      <w:r w:rsidRPr="00EF434D">
        <w:rPr>
          <w:rFonts w:ascii="Times New Roman" w:hAnsi="Times New Roman"/>
          <w:sz w:val="24"/>
          <w:szCs w:val="24"/>
        </w:rPr>
        <w:t>)</w:t>
      </w:r>
    </w:p>
    <w:p w14:paraId="594299DA" w14:textId="77777777" w:rsidR="00876754" w:rsidRDefault="00876754" w:rsidP="00876754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</w:p>
    <w:p w14:paraId="114A9C6D" w14:textId="03D6764E" w:rsidR="00790443" w:rsidRPr="00785062" w:rsidRDefault="00790443" w:rsidP="005E0CA7">
      <w:pPr>
        <w:spacing w:after="0"/>
        <w:ind w:left="-49"/>
        <w:jc w:val="both"/>
        <w:rPr>
          <w:rFonts w:ascii="Times New Roman" w:hAnsi="Times New Roman"/>
          <w:sz w:val="24"/>
          <w:szCs w:val="24"/>
        </w:rPr>
      </w:pPr>
      <w:r w:rsidRPr="00790443">
        <w:rPr>
          <w:rFonts w:ascii="Times New Roman" w:hAnsi="Times New Roman"/>
          <w:sz w:val="24"/>
          <w:szCs w:val="24"/>
        </w:rPr>
        <w:lastRenderedPageBreak/>
        <w:t>El autor concluye que la gobernanza es un desafío para la democracia y para el desarrollo, que exige una renovación de las capacidades y las competencias de los servidores públicos y de los ciudadanos.</w:t>
      </w:r>
      <w:r w:rsidR="00EF434D">
        <w:rPr>
          <w:rFonts w:ascii="Times New Roman" w:hAnsi="Times New Roman"/>
          <w:sz w:val="24"/>
          <w:szCs w:val="24"/>
        </w:rPr>
        <w:t xml:space="preserve"> </w:t>
      </w:r>
    </w:p>
    <w:p w14:paraId="43BD1805" w14:textId="77777777" w:rsidR="005E0CA7" w:rsidRPr="00154B2D" w:rsidRDefault="005E0CA7" w:rsidP="00967950">
      <w:pPr>
        <w:jc w:val="center"/>
        <w:rPr>
          <w:rFonts w:ascii="Arial" w:hAnsi="Arial" w:cs="Arial"/>
          <w:b/>
          <w:sz w:val="32"/>
          <w:szCs w:val="32"/>
        </w:rPr>
      </w:pPr>
    </w:p>
    <w:sectPr w:rsidR="005E0CA7" w:rsidRPr="00154B2D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87C7" w14:textId="77777777" w:rsidR="000A3101" w:rsidRDefault="000A3101" w:rsidP="000E1B6E">
      <w:pPr>
        <w:spacing w:after="0" w:line="240" w:lineRule="auto"/>
      </w:pPr>
      <w:r>
        <w:separator/>
      </w:r>
    </w:p>
  </w:endnote>
  <w:endnote w:type="continuationSeparator" w:id="0">
    <w:p w14:paraId="2F9A3CC0" w14:textId="77777777" w:rsidR="000A3101" w:rsidRDefault="000A3101" w:rsidP="000E1B6E">
      <w:pPr>
        <w:spacing w:after="0" w:line="240" w:lineRule="auto"/>
      </w:pPr>
      <w:r>
        <w:continuationSeparator/>
      </w:r>
    </w:p>
  </w:endnote>
  <w:endnote w:type="continuationNotice" w:id="1">
    <w:p w14:paraId="2744886B" w14:textId="77777777" w:rsidR="000A3101" w:rsidRDefault="000A31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F62B" w14:textId="77777777" w:rsidR="000A3101" w:rsidRDefault="000A3101" w:rsidP="000E1B6E">
      <w:pPr>
        <w:spacing w:after="0" w:line="240" w:lineRule="auto"/>
      </w:pPr>
      <w:r>
        <w:separator/>
      </w:r>
    </w:p>
  </w:footnote>
  <w:footnote w:type="continuationSeparator" w:id="0">
    <w:p w14:paraId="6737F923" w14:textId="77777777" w:rsidR="000A3101" w:rsidRDefault="000A3101" w:rsidP="000E1B6E">
      <w:pPr>
        <w:spacing w:after="0" w:line="240" w:lineRule="auto"/>
      </w:pPr>
      <w:r>
        <w:continuationSeparator/>
      </w:r>
    </w:p>
  </w:footnote>
  <w:footnote w:type="continuationNotice" w:id="1">
    <w:p w14:paraId="49F199DF" w14:textId="77777777" w:rsidR="000A3101" w:rsidRDefault="000A31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A7415"/>
    <w:multiLevelType w:val="hybridMultilevel"/>
    <w:tmpl w:val="3B0CAB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37F1536"/>
    <w:multiLevelType w:val="hybridMultilevel"/>
    <w:tmpl w:val="FE049F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0685240">
    <w:abstractNumId w:val="14"/>
  </w:num>
  <w:num w:numId="2" w16cid:durableId="947926532">
    <w:abstractNumId w:val="12"/>
  </w:num>
  <w:num w:numId="3" w16cid:durableId="707677894">
    <w:abstractNumId w:val="16"/>
  </w:num>
  <w:num w:numId="4" w16cid:durableId="996960357">
    <w:abstractNumId w:val="7"/>
  </w:num>
  <w:num w:numId="5" w16cid:durableId="1863325999">
    <w:abstractNumId w:val="6"/>
  </w:num>
  <w:num w:numId="6" w16cid:durableId="1146125794">
    <w:abstractNumId w:val="11"/>
  </w:num>
  <w:num w:numId="7" w16cid:durableId="704989227">
    <w:abstractNumId w:val="9"/>
  </w:num>
  <w:num w:numId="8" w16cid:durableId="914701090">
    <w:abstractNumId w:val="13"/>
  </w:num>
  <w:num w:numId="9" w16cid:durableId="1484665933">
    <w:abstractNumId w:val="2"/>
  </w:num>
  <w:num w:numId="10" w16cid:durableId="996882340">
    <w:abstractNumId w:val="4"/>
  </w:num>
  <w:num w:numId="11" w16cid:durableId="337469550">
    <w:abstractNumId w:val="19"/>
  </w:num>
  <w:num w:numId="12" w16cid:durableId="230425860">
    <w:abstractNumId w:val="25"/>
  </w:num>
  <w:num w:numId="13" w16cid:durableId="42412369">
    <w:abstractNumId w:val="17"/>
  </w:num>
  <w:num w:numId="14" w16cid:durableId="1849520444">
    <w:abstractNumId w:val="21"/>
  </w:num>
  <w:num w:numId="15" w16cid:durableId="1393962363">
    <w:abstractNumId w:val="8"/>
  </w:num>
  <w:num w:numId="16" w16cid:durableId="1662153626">
    <w:abstractNumId w:val="0"/>
  </w:num>
  <w:num w:numId="17" w16cid:durableId="225840259">
    <w:abstractNumId w:val="15"/>
  </w:num>
  <w:num w:numId="18" w16cid:durableId="1071807189">
    <w:abstractNumId w:val="23"/>
  </w:num>
  <w:num w:numId="19" w16cid:durableId="1424447744">
    <w:abstractNumId w:val="10"/>
  </w:num>
  <w:num w:numId="20" w16cid:durableId="1742557765">
    <w:abstractNumId w:val="20"/>
  </w:num>
  <w:num w:numId="21" w16cid:durableId="17005229">
    <w:abstractNumId w:val="26"/>
  </w:num>
  <w:num w:numId="22" w16cid:durableId="518206748">
    <w:abstractNumId w:val="1"/>
  </w:num>
  <w:num w:numId="23" w16cid:durableId="1288585835">
    <w:abstractNumId w:val="22"/>
  </w:num>
  <w:num w:numId="24" w16cid:durableId="1079136840">
    <w:abstractNumId w:val="3"/>
  </w:num>
  <w:num w:numId="25" w16cid:durableId="333847005">
    <w:abstractNumId w:val="18"/>
  </w:num>
  <w:num w:numId="26" w16cid:durableId="594559463">
    <w:abstractNumId w:val="5"/>
  </w:num>
  <w:num w:numId="27" w16cid:durableId="11821589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46883"/>
    <w:rsid w:val="00084A1F"/>
    <w:rsid w:val="00087C1A"/>
    <w:rsid w:val="00091C43"/>
    <w:rsid w:val="000956B0"/>
    <w:rsid w:val="000A1267"/>
    <w:rsid w:val="000A3101"/>
    <w:rsid w:val="000A4AAA"/>
    <w:rsid w:val="000B3201"/>
    <w:rsid w:val="000C3DF0"/>
    <w:rsid w:val="000D070E"/>
    <w:rsid w:val="000E1018"/>
    <w:rsid w:val="000E1B6E"/>
    <w:rsid w:val="000E23A4"/>
    <w:rsid w:val="000E5EFF"/>
    <w:rsid w:val="000F3B72"/>
    <w:rsid w:val="00116DAC"/>
    <w:rsid w:val="0012252F"/>
    <w:rsid w:val="00146A67"/>
    <w:rsid w:val="00154B2D"/>
    <w:rsid w:val="001566D0"/>
    <w:rsid w:val="001805D5"/>
    <w:rsid w:val="00190252"/>
    <w:rsid w:val="001C3AFC"/>
    <w:rsid w:val="001C4246"/>
    <w:rsid w:val="001D74AF"/>
    <w:rsid w:val="001E777E"/>
    <w:rsid w:val="001F2DA0"/>
    <w:rsid w:val="00227BAB"/>
    <w:rsid w:val="002824B4"/>
    <w:rsid w:val="002826C7"/>
    <w:rsid w:val="002A32C1"/>
    <w:rsid w:val="002A60A2"/>
    <w:rsid w:val="002B5CE5"/>
    <w:rsid w:val="00300782"/>
    <w:rsid w:val="0030672B"/>
    <w:rsid w:val="00307CE8"/>
    <w:rsid w:val="003132BB"/>
    <w:rsid w:val="00317649"/>
    <w:rsid w:val="00325671"/>
    <w:rsid w:val="00326F5A"/>
    <w:rsid w:val="0033510A"/>
    <w:rsid w:val="00363D36"/>
    <w:rsid w:val="00367062"/>
    <w:rsid w:val="003B4F77"/>
    <w:rsid w:val="003C2131"/>
    <w:rsid w:val="003D169C"/>
    <w:rsid w:val="003E59B0"/>
    <w:rsid w:val="00410B9C"/>
    <w:rsid w:val="00425A02"/>
    <w:rsid w:val="004536AB"/>
    <w:rsid w:val="00457979"/>
    <w:rsid w:val="00461285"/>
    <w:rsid w:val="00467A25"/>
    <w:rsid w:val="004722BD"/>
    <w:rsid w:val="00491460"/>
    <w:rsid w:val="004C399D"/>
    <w:rsid w:val="004C40B5"/>
    <w:rsid w:val="004D0CB8"/>
    <w:rsid w:val="00571438"/>
    <w:rsid w:val="0057355D"/>
    <w:rsid w:val="00576805"/>
    <w:rsid w:val="005879FC"/>
    <w:rsid w:val="0059398F"/>
    <w:rsid w:val="005D1C17"/>
    <w:rsid w:val="005D6EC0"/>
    <w:rsid w:val="005E0CA7"/>
    <w:rsid w:val="005F2652"/>
    <w:rsid w:val="00611A5B"/>
    <w:rsid w:val="006336B9"/>
    <w:rsid w:val="006611F5"/>
    <w:rsid w:val="00666606"/>
    <w:rsid w:val="006711B5"/>
    <w:rsid w:val="00671C26"/>
    <w:rsid w:val="00674EAC"/>
    <w:rsid w:val="00696534"/>
    <w:rsid w:val="006B4203"/>
    <w:rsid w:val="006D70AD"/>
    <w:rsid w:val="006E40FA"/>
    <w:rsid w:val="006F071D"/>
    <w:rsid w:val="00700E34"/>
    <w:rsid w:val="00706F08"/>
    <w:rsid w:val="00713851"/>
    <w:rsid w:val="00722555"/>
    <w:rsid w:val="00733A9B"/>
    <w:rsid w:val="0075455E"/>
    <w:rsid w:val="0076316E"/>
    <w:rsid w:val="00790443"/>
    <w:rsid w:val="007934AE"/>
    <w:rsid w:val="007A3C8F"/>
    <w:rsid w:val="00801ED6"/>
    <w:rsid w:val="00825C7A"/>
    <w:rsid w:val="008272C5"/>
    <w:rsid w:val="00833E12"/>
    <w:rsid w:val="00845BAE"/>
    <w:rsid w:val="00876754"/>
    <w:rsid w:val="00890A47"/>
    <w:rsid w:val="00893C37"/>
    <w:rsid w:val="008A1B91"/>
    <w:rsid w:val="008C02FF"/>
    <w:rsid w:val="008C21C6"/>
    <w:rsid w:val="008D3253"/>
    <w:rsid w:val="008F1676"/>
    <w:rsid w:val="00916FCC"/>
    <w:rsid w:val="00930A90"/>
    <w:rsid w:val="00942B67"/>
    <w:rsid w:val="009606A0"/>
    <w:rsid w:val="00967950"/>
    <w:rsid w:val="00971E48"/>
    <w:rsid w:val="009B28E7"/>
    <w:rsid w:val="009D3885"/>
    <w:rsid w:val="009D6BC5"/>
    <w:rsid w:val="009E04F5"/>
    <w:rsid w:val="00A70991"/>
    <w:rsid w:val="00A71EC8"/>
    <w:rsid w:val="00AB1A0C"/>
    <w:rsid w:val="00AC59EC"/>
    <w:rsid w:val="00AE56E1"/>
    <w:rsid w:val="00AF15EF"/>
    <w:rsid w:val="00B11DA6"/>
    <w:rsid w:val="00B134BA"/>
    <w:rsid w:val="00B20FC6"/>
    <w:rsid w:val="00B44FF0"/>
    <w:rsid w:val="00B64C0A"/>
    <w:rsid w:val="00B74F75"/>
    <w:rsid w:val="00B804ED"/>
    <w:rsid w:val="00B83741"/>
    <w:rsid w:val="00B9547C"/>
    <w:rsid w:val="00BD4E4E"/>
    <w:rsid w:val="00BD7729"/>
    <w:rsid w:val="00C373A3"/>
    <w:rsid w:val="00C44731"/>
    <w:rsid w:val="00C56FB2"/>
    <w:rsid w:val="00C7108F"/>
    <w:rsid w:val="00C76FE2"/>
    <w:rsid w:val="00CB0C4F"/>
    <w:rsid w:val="00CF1BDF"/>
    <w:rsid w:val="00D10D2F"/>
    <w:rsid w:val="00D227EB"/>
    <w:rsid w:val="00D3299C"/>
    <w:rsid w:val="00D5126B"/>
    <w:rsid w:val="00D91DB7"/>
    <w:rsid w:val="00D933AF"/>
    <w:rsid w:val="00DF67E3"/>
    <w:rsid w:val="00E0242E"/>
    <w:rsid w:val="00E6276A"/>
    <w:rsid w:val="00E63E7D"/>
    <w:rsid w:val="00E824F1"/>
    <w:rsid w:val="00E90CEA"/>
    <w:rsid w:val="00EB0ACF"/>
    <w:rsid w:val="00EC7EB1"/>
    <w:rsid w:val="00ED1A72"/>
    <w:rsid w:val="00ED70D1"/>
    <w:rsid w:val="00EF434D"/>
    <w:rsid w:val="00EF6755"/>
    <w:rsid w:val="00F01D4B"/>
    <w:rsid w:val="00F26B7A"/>
    <w:rsid w:val="00F35113"/>
    <w:rsid w:val="00F37090"/>
    <w:rsid w:val="00F56A60"/>
    <w:rsid w:val="00F71FDD"/>
    <w:rsid w:val="00FA0BA6"/>
    <w:rsid w:val="00FA4514"/>
    <w:rsid w:val="00FB3D5C"/>
    <w:rsid w:val="00FC3363"/>
    <w:rsid w:val="00FD3210"/>
    <w:rsid w:val="2C840681"/>
    <w:rsid w:val="3F51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2A5B5290-5F8B-470A-8AD8-96FDEA0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77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1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11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1679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8</cp:revision>
  <dcterms:created xsi:type="dcterms:W3CDTF">2023-03-27T21:24:00Z</dcterms:created>
  <dcterms:modified xsi:type="dcterms:W3CDTF">2023-04-05T07:28:00Z</dcterms:modified>
</cp:coreProperties>
</file>