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810" w:tblpY="10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7950" w:rsidRPr="00323347" w14:paraId="7DF6F93C" w14:textId="77777777" w:rsidTr="00971E48">
        <w:tc>
          <w:tcPr>
            <w:tcW w:w="8494" w:type="dxa"/>
          </w:tcPr>
          <w:p w14:paraId="53D536EF" w14:textId="399D7BB5" w:rsidR="00834599" w:rsidRDefault="00AA720C" w:rsidP="00834599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CO"/>
              </w:rPr>
            </w:pPr>
            <w:proofErr w:type="spellStart"/>
            <w:r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>Posnueva</w:t>
            </w:r>
            <w:proofErr w:type="spellEnd"/>
            <w:r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 xml:space="preserve"> gestión pública, gobernanza e innovación.</w:t>
            </w:r>
            <w:r w:rsidR="00834599">
              <w:rPr>
                <w:rFonts w:ascii="Arial" w:hAnsi="Arial" w:cs="Arial"/>
                <w:b/>
                <w:sz w:val="32"/>
                <w:szCs w:val="32"/>
                <w:lang w:val="es-CO"/>
              </w:rPr>
              <w:t xml:space="preserve"> </w:t>
            </w:r>
            <w:r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>Tres conceptos en torno a una forma de organización y gestión de lo público</w:t>
            </w:r>
            <w:r w:rsidR="00834599">
              <w:rPr>
                <w:rFonts w:ascii="Arial" w:hAnsi="Arial" w:cs="Arial"/>
                <w:b/>
                <w:sz w:val="32"/>
                <w:szCs w:val="32"/>
                <w:lang w:val="es-CO"/>
              </w:rPr>
              <w:t>.</w:t>
            </w:r>
            <w:r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 xml:space="preserve"> </w:t>
            </w:r>
          </w:p>
          <w:p w14:paraId="518BDF01" w14:textId="189629FB" w:rsidR="00967950" w:rsidRPr="00323347" w:rsidRDefault="00834599" w:rsidP="00AA720C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CO"/>
              </w:rPr>
              <w:t>P</w:t>
            </w:r>
            <w:r w:rsidR="00AA720C"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 xml:space="preserve">or: </w:t>
            </w:r>
            <w:r w:rsidR="00AA720C"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>Sergio Alberto Chica-Vélez</w:t>
            </w:r>
            <w:r w:rsidR="00AA720C"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 xml:space="preserve"> y </w:t>
            </w:r>
            <w:r w:rsidR="00AA720C" w:rsidRPr="00323347">
              <w:rPr>
                <w:rFonts w:ascii="Arial" w:hAnsi="Arial" w:cs="Arial"/>
                <w:b/>
                <w:sz w:val="32"/>
                <w:szCs w:val="32"/>
                <w:lang w:val="es-CO"/>
              </w:rPr>
              <w:t>Cristian Andrés Salazar-Ortiz</w:t>
            </w:r>
          </w:p>
        </w:tc>
      </w:tr>
      <w:tr w:rsidR="00967950" w:rsidRPr="00323347" w14:paraId="6D1A74D2" w14:textId="77777777" w:rsidTr="00971E48">
        <w:tc>
          <w:tcPr>
            <w:tcW w:w="8494" w:type="dxa"/>
          </w:tcPr>
          <w:p w14:paraId="707C56CA" w14:textId="25EF1C08" w:rsidR="00967950" w:rsidRPr="00323347" w:rsidRDefault="00967950" w:rsidP="00A70991">
            <w:pPr>
              <w:tabs>
                <w:tab w:val="center" w:pos="4252"/>
              </w:tabs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1. Componente Temático</w:t>
            </w:r>
            <w:r w:rsidR="00A70991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ab/>
            </w:r>
          </w:p>
        </w:tc>
      </w:tr>
      <w:tr w:rsidR="00967950" w:rsidRPr="00323347" w14:paraId="360ED4C1" w14:textId="77777777" w:rsidTr="00971E48">
        <w:tc>
          <w:tcPr>
            <w:tcW w:w="8494" w:type="dxa"/>
          </w:tcPr>
          <w:p w14:paraId="2DBFE707" w14:textId="7C08DDA4" w:rsidR="00967950" w:rsidRPr="00323347" w:rsidRDefault="00323347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1.1 Referencia</w:t>
            </w:r>
            <w:r w:rsidR="00967950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Bibliográfica</w:t>
            </w:r>
          </w:p>
        </w:tc>
      </w:tr>
      <w:tr w:rsidR="00967950" w:rsidRPr="00323347" w14:paraId="0C1614CF" w14:textId="77777777" w:rsidTr="00971E48">
        <w:tc>
          <w:tcPr>
            <w:tcW w:w="8494" w:type="dxa"/>
          </w:tcPr>
          <w:p w14:paraId="3C1BA858" w14:textId="37EBADE0" w:rsidR="00967950" w:rsidRPr="00323347" w:rsidRDefault="009F0CF4" w:rsidP="009F0CF4">
            <w:pPr>
              <w:jc w:val="both"/>
              <w:rPr>
                <w:rFonts w:ascii="Arial" w:hAnsi="Arial" w:cs="Arial"/>
                <w:lang w:val="es-CO"/>
              </w:rPr>
            </w:pPr>
            <w:r w:rsidRPr="009F0CF4">
              <w:rPr>
                <w:rFonts w:ascii="Arial" w:hAnsi="Arial" w:cs="Arial"/>
                <w:lang w:val="es-CO"/>
              </w:rPr>
              <w:t xml:space="preserve">Chica-Vélez, S. A. y Salazar-Ortiz, C. A. (2021). </w:t>
            </w:r>
            <w:proofErr w:type="spellStart"/>
            <w:r w:rsidRPr="009F0CF4">
              <w:rPr>
                <w:rFonts w:ascii="Arial" w:hAnsi="Arial" w:cs="Arial"/>
                <w:lang w:val="es-CO"/>
              </w:rPr>
              <w:t>Posnueva</w:t>
            </w:r>
            <w:proofErr w:type="spellEnd"/>
            <w:r w:rsidRPr="009F0CF4">
              <w:rPr>
                <w:rFonts w:ascii="Arial" w:hAnsi="Arial" w:cs="Arial"/>
                <w:lang w:val="es-CO"/>
              </w:rPr>
              <w:t xml:space="preserve"> gestión pública, gobernanza e innovación. Tres conceptos en torno a una forma de organización y gestión de lo público. opera, 28, 17-51.</w:t>
            </w:r>
          </w:p>
        </w:tc>
      </w:tr>
      <w:tr w:rsidR="00967950" w:rsidRPr="00323347" w14:paraId="5A2C41DB" w14:textId="77777777" w:rsidTr="00971E48">
        <w:tc>
          <w:tcPr>
            <w:tcW w:w="8494" w:type="dxa"/>
          </w:tcPr>
          <w:p w14:paraId="7551B226" w14:textId="6735F5A9" w:rsidR="00967950" w:rsidRPr="00323347" w:rsidRDefault="00967950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1.2 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¿</w:t>
            </w: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Quién produce el texto? (texto académico, de ONG, de organismo internacional, 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etc.</w:t>
            </w: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), autor, organización, entidad</w:t>
            </w:r>
          </w:p>
        </w:tc>
      </w:tr>
      <w:tr w:rsidR="00EB0ACF" w:rsidRPr="00323347" w14:paraId="5D892868" w14:textId="77777777" w:rsidTr="00971E48">
        <w:trPr>
          <w:trHeight w:val="859"/>
        </w:trPr>
        <w:tc>
          <w:tcPr>
            <w:tcW w:w="8494" w:type="dxa"/>
          </w:tcPr>
          <w:p w14:paraId="6E6CC331" w14:textId="79453AE5" w:rsidR="00EB0ACF" w:rsidRPr="00323347" w:rsidRDefault="009F0CF4" w:rsidP="009F0CF4">
            <w:pPr>
              <w:spacing w:after="0"/>
              <w:rPr>
                <w:rFonts w:ascii="Arial" w:hAnsi="Arial" w:cs="Arial"/>
                <w:lang w:val="es-CO"/>
              </w:rPr>
            </w:pPr>
            <w:r w:rsidRPr="009F0CF4">
              <w:rPr>
                <w:rFonts w:ascii="Arial" w:hAnsi="Arial" w:cs="Arial"/>
                <w:b/>
                <w:bCs/>
                <w:lang w:val="es-CO"/>
              </w:rPr>
              <w:t>Texto académico: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>
              <w:t xml:space="preserve"> </w:t>
            </w:r>
            <w:r w:rsidRPr="009F0CF4">
              <w:rPr>
                <w:rFonts w:ascii="Arial" w:hAnsi="Arial" w:cs="Arial"/>
                <w:lang w:val="es-CO"/>
              </w:rPr>
              <w:t xml:space="preserve">Este artículo se enmarca en los estudios adelantados en la materia por el grupo de investigación “Redes </w:t>
            </w:r>
            <w:proofErr w:type="spellStart"/>
            <w:r w:rsidRPr="009F0CF4">
              <w:rPr>
                <w:rFonts w:ascii="Arial" w:hAnsi="Arial" w:cs="Arial"/>
                <w:lang w:val="es-CO"/>
              </w:rPr>
              <w:t>ogp</w:t>
            </w:r>
            <w:proofErr w:type="spellEnd"/>
            <w:r w:rsidRPr="009F0CF4">
              <w:rPr>
                <w:rFonts w:ascii="Arial" w:hAnsi="Arial" w:cs="Arial"/>
                <w:lang w:val="es-CO"/>
              </w:rPr>
              <w:t>”, gracias a la financiación de la Facultad de Investigaciones de la Escuela Superior de Administración Pública (</w:t>
            </w:r>
            <w:proofErr w:type="spellStart"/>
            <w:r w:rsidRPr="009F0CF4">
              <w:rPr>
                <w:rFonts w:ascii="Arial" w:hAnsi="Arial" w:cs="Arial"/>
                <w:lang w:val="es-CO"/>
              </w:rPr>
              <w:t>esap</w:t>
            </w:r>
            <w:proofErr w:type="spellEnd"/>
            <w:r w:rsidRPr="009F0CF4">
              <w:rPr>
                <w:rFonts w:ascii="Arial" w:hAnsi="Arial" w:cs="Arial"/>
                <w:lang w:val="es-CO"/>
              </w:rPr>
              <w:t>)</w:t>
            </w:r>
          </w:p>
        </w:tc>
      </w:tr>
      <w:tr w:rsidR="00EB0ACF" w:rsidRPr="00323347" w14:paraId="6C71C6D0" w14:textId="77777777" w:rsidTr="00971E48">
        <w:tc>
          <w:tcPr>
            <w:tcW w:w="8494" w:type="dxa"/>
          </w:tcPr>
          <w:p w14:paraId="1896416D" w14:textId="77777777" w:rsidR="00EB0ACF" w:rsidRDefault="00323347" w:rsidP="009679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1.3 Tesis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centrales</w:t>
            </w:r>
            <w:r w:rsidR="00967950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y argumentación  </w:t>
            </w:r>
          </w:p>
          <w:p w14:paraId="2BBDEDEB" w14:textId="77777777" w:rsidR="0034675D" w:rsidRDefault="0034675D" w:rsidP="0034675D">
            <w:pPr>
              <w:jc w:val="both"/>
              <w:rPr>
                <w:rFonts w:ascii="Arial" w:hAnsi="Arial" w:cs="Arial"/>
                <w:lang w:val="es-CO"/>
              </w:rPr>
            </w:pPr>
            <w:r w:rsidRPr="0034675D">
              <w:rPr>
                <w:rFonts w:ascii="Arial" w:hAnsi="Arial" w:cs="Arial"/>
                <w:lang w:val="es-CO"/>
              </w:rPr>
              <w:t xml:space="preserve">La gobernanza refleja la transformación de las relaciones entre el Gobierno y la </w:t>
            </w:r>
            <w:r w:rsidRPr="0034675D">
              <w:rPr>
                <w:rFonts w:ascii="Arial" w:hAnsi="Arial" w:cs="Arial"/>
                <w:lang w:val="es-CO"/>
              </w:rPr>
              <w:t>sociedad</w:t>
            </w:r>
            <w:r w:rsidRPr="0034675D">
              <w:rPr>
                <w:rFonts w:ascii="Arial" w:hAnsi="Arial" w:cs="Arial"/>
                <w:lang w:val="es-CO"/>
              </w:rPr>
              <w:t xml:space="preserve"> a partir de la emergencia de un papel más activo de la sociedad civil en la acción pública al desligarla de la tradicional dependencia gubernamental.</w:t>
            </w:r>
            <w:r>
              <w:rPr>
                <w:rFonts w:ascii="Arial" w:hAnsi="Arial" w:cs="Arial"/>
                <w:lang w:val="es-CO"/>
              </w:rPr>
              <w:t xml:space="preserve"> (Chica-Vélez, 2021, p.17)</w:t>
            </w:r>
          </w:p>
          <w:p w14:paraId="59C0F2A6" w14:textId="77777777" w:rsidR="00C21738" w:rsidRDefault="00C21738" w:rsidP="00C21738">
            <w:pPr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C21738">
              <w:rPr>
                <w:rFonts w:ascii="Arial" w:hAnsi="Arial" w:cs="Arial"/>
                <w:lang w:val="es-CO"/>
              </w:rPr>
              <w:t>PosNueva</w:t>
            </w:r>
            <w:proofErr w:type="spellEnd"/>
            <w:r w:rsidRPr="00C21738">
              <w:rPr>
                <w:rFonts w:ascii="Arial" w:hAnsi="Arial" w:cs="Arial"/>
                <w:lang w:val="es-CO"/>
              </w:rPr>
              <w:t xml:space="preserve"> Gestión Pública (p-</w:t>
            </w:r>
            <w:proofErr w:type="spellStart"/>
            <w:r w:rsidRPr="00C21738">
              <w:rPr>
                <w:rFonts w:ascii="Arial" w:hAnsi="Arial" w:cs="Arial"/>
                <w:lang w:val="es-CO"/>
              </w:rPr>
              <w:t>ngp</w:t>
            </w:r>
            <w:proofErr w:type="spellEnd"/>
            <w:r w:rsidRPr="00C21738">
              <w:rPr>
                <w:rFonts w:ascii="Arial" w:hAnsi="Arial" w:cs="Arial"/>
                <w:lang w:val="es-CO"/>
              </w:rPr>
              <w:t>) que propone nuevas concepciones acerca de la gobernanza y la innovación; concepciones que articulan un giro en las maneras de concebir y comprender las formas organizacionales, la gestión pública y al Estado mismo en su interacción con la sociedad</w:t>
            </w:r>
            <w:r>
              <w:rPr>
                <w:rFonts w:ascii="Arial" w:hAnsi="Arial" w:cs="Arial"/>
                <w:lang w:val="es-CO"/>
              </w:rPr>
              <w:t xml:space="preserve">. </w:t>
            </w:r>
            <w:r>
              <w:rPr>
                <w:rFonts w:ascii="Arial" w:hAnsi="Arial" w:cs="Arial"/>
                <w:lang w:val="es-CO"/>
              </w:rPr>
              <w:t>(Chica-Vélez, 2021, p.17)</w:t>
            </w:r>
          </w:p>
          <w:p w14:paraId="3CCBAB27" w14:textId="5FB90B6D" w:rsidR="00C21738" w:rsidRPr="00C21738" w:rsidRDefault="00C21738" w:rsidP="00C21738">
            <w:pPr>
              <w:jc w:val="both"/>
              <w:rPr>
                <w:rFonts w:ascii="Arial" w:hAnsi="Arial" w:cs="Arial"/>
                <w:lang w:val="es-CO"/>
              </w:rPr>
            </w:pPr>
            <w:r w:rsidRPr="00C21738">
              <w:rPr>
                <w:rFonts w:ascii="Arial" w:hAnsi="Arial" w:cs="Arial"/>
                <w:lang w:val="es-CO"/>
              </w:rPr>
              <w:t xml:space="preserve">la gobernanza basada en la apertura de la administración pública con base en innovación entendida como el </w:t>
            </w:r>
            <w:r w:rsidRPr="00C21738">
              <w:rPr>
                <w:rFonts w:ascii="Arial" w:hAnsi="Arial" w:cs="Arial"/>
                <w:lang w:val="es-CO"/>
              </w:rPr>
              <w:t>conjunto</w:t>
            </w:r>
            <w:r w:rsidRPr="00C21738">
              <w:rPr>
                <w:rFonts w:ascii="Arial" w:hAnsi="Arial" w:cs="Arial"/>
                <w:lang w:val="es-CO"/>
              </w:rPr>
              <w:t xml:space="preserve"> de presupuestos discursivos, plausibles y necesarios para fomentar ejercicios de gobierno en colaboración, los cuales se han apoyado en la implementación de tic para potenciar </w:t>
            </w:r>
            <w:r w:rsidRPr="00C21738">
              <w:rPr>
                <w:rFonts w:ascii="Arial" w:hAnsi="Arial" w:cs="Arial"/>
                <w:lang w:val="es-CO"/>
              </w:rPr>
              <w:t>dicha</w:t>
            </w:r>
            <w:r w:rsidRPr="00C21738">
              <w:rPr>
                <w:rFonts w:ascii="Arial" w:hAnsi="Arial" w:cs="Arial"/>
                <w:lang w:val="es-CO"/>
              </w:rPr>
              <w:t xml:space="preserve"> capacidad colaborativa y relacional entre agentes públicos y privados.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(Chica-Vélez, 2021, p.</w:t>
            </w:r>
            <w:r>
              <w:rPr>
                <w:rFonts w:ascii="Arial" w:hAnsi="Arial" w:cs="Arial"/>
                <w:lang w:val="es-CO"/>
              </w:rPr>
              <w:t>44</w:t>
            </w:r>
            <w:r>
              <w:rPr>
                <w:rFonts w:ascii="Arial" w:hAnsi="Arial" w:cs="Arial"/>
                <w:lang w:val="es-CO"/>
              </w:rPr>
              <w:t>)</w:t>
            </w:r>
          </w:p>
        </w:tc>
      </w:tr>
      <w:tr w:rsidR="00EB0ACF" w:rsidRPr="00323347" w14:paraId="1CB228EE" w14:textId="77777777" w:rsidTr="00971E48">
        <w:tc>
          <w:tcPr>
            <w:tcW w:w="8494" w:type="dxa"/>
          </w:tcPr>
          <w:p w14:paraId="7BD104CD" w14:textId="2847FB8B" w:rsidR="00EB0ACF" w:rsidRPr="00323347" w:rsidRDefault="00323347" w:rsidP="00967950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1.4 Referencias</w:t>
            </w:r>
            <w:r w:rsidR="00967950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teóricas y conceptuales del texto</w:t>
            </w:r>
          </w:p>
        </w:tc>
      </w:tr>
      <w:tr w:rsidR="00EB0ACF" w:rsidRPr="00323347" w14:paraId="150A8B0C" w14:textId="77777777" w:rsidTr="00971E48">
        <w:trPr>
          <w:trHeight w:val="1296"/>
        </w:trPr>
        <w:tc>
          <w:tcPr>
            <w:tcW w:w="8494" w:type="dxa"/>
          </w:tcPr>
          <w:p w14:paraId="2FD8B90B" w14:textId="381F1A01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t xml:space="preserve">Aguilar Villalobos, C. (2018). Desafíos de la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innovación</w:t>
            </w:r>
            <w:r w:rsidRPr="00F85ECB">
              <w:rPr>
                <w:rFonts w:ascii="Arial" w:hAnsi="Arial" w:cs="Arial"/>
                <w:i/>
                <w:lang w:val="es-CO"/>
              </w:rPr>
              <w:t xml:space="preserve"> pública en municipalidades.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InterNaciones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>, 5 (13), 43-59</w:t>
            </w:r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F85ECB">
              <w:rPr>
                <w:rFonts w:ascii="Arial" w:hAnsi="Arial" w:cs="Arial"/>
                <w:i/>
                <w:lang w:val="es-CO"/>
              </w:rPr>
              <w:t>http://www.internaciones.cucsh.udg.mx/index.php/inter/article/view/7065</w:t>
            </w:r>
          </w:p>
          <w:p w14:paraId="2E850D5D" w14:textId="4691428F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t>Aguilar Villanueva, L. F. (2009). Gobernanza y Gestión Pública. Fondo de Cultura Económica.</w:t>
            </w:r>
          </w:p>
          <w:p w14:paraId="415E7FED" w14:textId="4C13BFDD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t xml:space="preserve">Alonso-Jiménez, E. (2015). Una aproximación a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Wikipedia</w:t>
            </w:r>
            <w:r w:rsidRPr="00F85ECB">
              <w:rPr>
                <w:rFonts w:ascii="Arial" w:hAnsi="Arial" w:cs="Arial"/>
                <w:i/>
                <w:lang w:val="es-CO"/>
              </w:rPr>
              <w:t xml:space="preserve"> como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polisistema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cultural.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Convergencia</w:t>
            </w:r>
            <w:r w:rsidRPr="00F85ECB">
              <w:rPr>
                <w:rFonts w:ascii="Arial" w:hAnsi="Arial" w:cs="Arial"/>
                <w:i/>
                <w:lang w:val="es-CO"/>
              </w:rPr>
              <w:t>, 22(68), 125-149.</w:t>
            </w:r>
          </w:p>
          <w:p w14:paraId="04271181" w14:textId="77254388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lastRenderedPageBreak/>
              <w:t xml:space="preserve">Aznar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Minguet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, P. y Martínez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Agut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, M. D. (2013). La perspectiva de la sostenibilidad en la sociedad del conocimiento interconectado: gobernanza,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educación</w:t>
            </w:r>
            <w:r w:rsidRPr="00F85ECB">
              <w:rPr>
                <w:rFonts w:ascii="Arial" w:hAnsi="Arial" w:cs="Arial"/>
                <w:i/>
                <w:lang w:val="es-CO"/>
              </w:rPr>
              <w:t>, ética. TESI, 14(3), 37-60. http://revistas.usal.es/~revistas_trabajo/index.php/revistatesi/article/view/11350</w:t>
            </w:r>
          </w:p>
          <w:p w14:paraId="53ACA1F8" w14:textId="140E061B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t>Banco Interamericano de Desarrollo (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bid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) (2015).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Gobernanza</w:t>
            </w:r>
            <w:r w:rsidRPr="00F85ECB">
              <w:rPr>
                <w:rFonts w:ascii="Arial" w:hAnsi="Arial" w:cs="Arial"/>
                <w:i/>
                <w:lang w:val="es-CO"/>
              </w:rPr>
              <w:t xml:space="preserve"> con transparencia en tiempos de abundancia: experiencias de las industrias extractivas en América Latina y el Caribe.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bid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>. http://publications.iadb.org/handle/11319/6681?locale-attribute=es</w:t>
            </w:r>
          </w:p>
          <w:p w14:paraId="2D5ED096" w14:textId="0ABDA733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F85ECB">
              <w:rPr>
                <w:rFonts w:ascii="Arial" w:hAnsi="Arial" w:cs="Arial"/>
                <w:i/>
                <w:lang w:val="es-CO"/>
              </w:rPr>
              <w:t>Bitar, S. (2014). Las tendencias mundiales y el futuro de América Latina. Cepal.</w:t>
            </w:r>
          </w:p>
          <w:p w14:paraId="009CCE44" w14:textId="0DD216D0" w:rsidR="00F85ECB" w:rsidRPr="00F85ECB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Boisier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, S. (2004). Desarrollo territorial y </w:t>
            </w:r>
            <w:r w:rsidR="00B434F1" w:rsidRPr="00F85ECB">
              <w:rPr>
                <w:rFonts w:ascii="Arial" w:hAnsi="Arial" w:cs="Arial"/>
                <w:i/>
                <w:lang w:val="es-CO"/>
              </w:rPr>
              <w:t>descentralización</w:t>
            </w:r>
            <w:r w:rsidRPr="00F85ECB">
              <w:rPr>
                <w:rFonts w:ascii="Arial" w:hAnsi="Arial" w:cs="Arial"/>
                <w:i/>
                <w:lang w:val="es-CO"/>
              </w:rPr>
              <w:t>: el desarrollo en el lugar y en las manos de la gente. Eure (Santiago), 30(90), 27-40.</w:t>
            </w:r>
          </w:p>
          <w:p w14:paraId="74CB3429" w14:textId="6EDCB4F5" w:rsidR="00EB0ACF" w:rsidRDefault="00F85ECB" w:rsidP="00F85ECB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Brabham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, D. C. (2008).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Moving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crowd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at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iStockphoto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: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composition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crowd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motivations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for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participation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in a crowdsourcing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application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First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F85ECB">
              <w:rPr>
                <w:rFonts w:ascii="Arial" w:hAnsi="Arial" w:cs="Arial"/>
                <w:i/>
                <w:lang w:val="es-CO"/>
              </w:rPr>
              <w:t>monday</w:t>
            </w:r>
            <w:proofErr w:type="spellEnd"/>
            <w:r w:rsidRPr="00F85ECB">
              <w:rPr>
                <w:rFonts w:ascii="Arial" w:hAnsi="Arial" w:cs="Arial"/>
                <w:i/>
                <w:lang w:val="es-CO"/>
              </w:rPr>
              <w:t>, 13(6).</w:t>
            </w:r>
          </w:p>
          <w:p w14:paraId="33B5F3FD" w14:textId="46B6D380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Bula Escobar, G. (2014). Cibernética, Sociedad y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Gobierno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. En M. H. Fandiño, 100 años de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Administración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Pública: retos y perspectivas. Memorias Congreso Internacional Conmemorativo de la Ley 4° de 1913 (pp. 283-291). Grupo de Publicaciones y Recursos Educativos.</w:t>
            </w:r>
          </w:p>
          <w:p w14:paraId="3E5C959E" w14:textId="652B24AC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Castro, L. (2019). ¿Qué es Crowdsourcing?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About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español.</w:t>
            </w:r>
          </w:p>
          <w:p w14:paraId="5B8A3F89" w14:textId="21EED838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Chica Vélez, S. y Salazar Ortiz, C. (2016) Nueva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posnueva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gestión pública ¿Continuidad o ruptura de las doctrinas de reforma a partir de 1990? Administración y Desarrollo, 46(1), 100-125. http://esapvirtual.esap.edu.co/ojs/index.php/admindesarro/article/view/89.</w:t>
            </w:r>
          </w:p>
          <w:p w14:paraId="5E81C645" w14:textId="35809C09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Christensen, T.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Lægreid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P. (2005). El Estado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fragmentado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: los retos de combinar eficiencia, normas institucionales y democracia. Gestión y Política </w:t>
            </w:r>
          </w:p>
          <w:p w14:paraId="33A02C3E" w14:textId="7777777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Pública, </w:t>
            </w:r>
            <w:proofErr w:type="spellStart"/>
            <w:proofErr w:type="gramStart"/>
            <w:r w:rsidRPr="00982782">
              <w:rPr>
                <w:rFonts w:ascii="Arial" w:hAnsi="Arial" w:cs="Arial"/>
                <w:i/>
                <w:lang w:val="es-CO"/>
              </w:rPr>
              <w:t>xiv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(</w:t>
            </w:r>
            <w:proofErr w:type="gramEnd"/>
            <w:r w:rsidRPr="00982782">
              <w:rPr>
                <w:rFonts w:ascii="Arial" w:hAnsi="Arial" w:cs="Arial"/>
                <w:i/>
                <w:lang w:val="es-CO"/>
              </w:rPr>
              <w:t>3), 557-598.</w:t>
            </w:r>
          </w:p>
          <w:p w14:paraId="14BADA3A" w14:textId="418D9BA2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Christensen, T.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Lægreid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P. (2007a).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Transcending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New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Management: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Transformation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Sector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Reforms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Ashgate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Publishing Company</w:t>
            </w:r>
          </w:p>
          <w:p w14:paraId="4C828AC0" w14:textId="3EE0A12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Christensen, T.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Lægreid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P. (2007b). Reformas Post Nueva Gestión Pública. Tendencias empíricas y retos académicos. Gestión y Política Pública, </w:t>
            </w:r>
            <w:proofErr w:type="spellStart"/>
            <w:proofErr w:type="gramStart"/>
            <w:r w:rsidRPr="00982782">
              <w:rPr>
                <w:rFonts w:ascii="Arial" w:hAnsi="Arial" w:cs="Arial"/>
                <w:i/>
                <w:lang w:val="es-CO"/>
              </w:rPr>
              <w:t>xvi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(</w:t>
            </w:r>
            <w:proofErr w:type="gramEnd"/>
            <w:r w:rsidRPr="00982782">
              <w:rPr>
                <w:rFonts w:ascii="Arial" w:hAnsi="Arial" w:cs="Arial"/>
                <w:i/>
                <w:lang w:val="es-CO"/>
              </w:rPr>
              <w:t>2), 539-564.</w:t>
            </w:r>
          </w:p>
          <w:p w14:paraId="60295B2F" w14:textId="5D2535AF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Christensen, T. (2012).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Post-npm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changing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governance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Meiji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Journal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Political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Science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Economics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</w:p>
          <w:p w14:paraId="5775554D" w14:textId="3AA41DB5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Christensen, T. y Fan, Y. (2016). Post-New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Management: </w:t>
            </w:r>
            <w:proofErr w:type="gramStart"/>
            <w:r w:rsidRPr="00982782">
              <w:rPr>
                <w:rFonts w:ascii="Arial" w:hAnsi="Arial" w:cs="Arial"/>
                <w:i/>
                <w:lang w:val="es-CO"/>
              </w:rPr>
              <w:t xml:space="preserve">A new administrative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paradigm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for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China</w:t>
            </w:r>
            <w:r w:rsidRPr="00982782">
              <w:rPr>
                <w:rFonts w:ascii="Arial" w:hAnsi="Arial" w:cs="Arial"/>
                <w:i/>
                <w:lang w:val="es-CO"/>
              </w:rPr>
              <w:t>?</w:t>
            </w:r>
            <w:proofErr w:type="gramEnd"/>
            <w:r w:rsidRPr="00982782">
              <w:rPr>
                <w:rFonts w:ascii="Arial" w:hAnsi="Arial" w:cs="Arial"/>
                <w:i/>
                <w:lang w:val="es-CO"/>
              </w:rPr>
              <w:t xml:space="preserve"> International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Review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Administrative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Sciences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0(0) 1-16.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doi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: 10.1177/0020852316633513</w:t>
            </w:r>
          </w:p>
          <w:p w14:paraId="4DFD849B" w14:textId="77777777" w:rsidR="00F85ECB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Cohen, N. (2016)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Forgoing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new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management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adopting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post-new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management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principles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: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on-going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civil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service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reform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in Israel.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Admin. Dev., 36, 20-34.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doi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: 10.1002/pad.1751</w:t>
            </w:r>
          </w:p>
          <w:p w14:paraId="79098A42" w14:textId="3664BE05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Conejero Paz, E. (2005). Globalización, gobernanza local y democracia participativa. Cuadernos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constitucionales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de la Cátedra Fadrique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Furió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Ceriol,52-53, 13-31. http://dialnet.unirioja.es/servlet/autor?codigo=365267</w:t>
            </w:r>
          </w:p>
          <w:p w14:paraId="38C05C1E" w14:textId="00B70259" w:rsid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Conejero Paz, E. (2013). Gobierno abierto y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democracia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participativa. 3c Empresa, 13(12). http://www.3ciencias.com/revistas/revista/3c-empresa</w:t>
            </w:r>
            <w:r w:rsidRPr="00982782">
              <w:rPr>
                <w:rFonts w:ascii="Arial" w:hAnsi="Arial" w:cs="Arial"/>
                <w:i/>
                <w:lang w:val="es-CO"/>
              </w:rPr>
              <w:t>no-13/</w:t>
            </w:r>
          </w:p>
          <w:p w14:paraId="6D30C08A" w14:textId="3ADFABC1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Cruz-Rubio, C. N. y Ramírez-Alujas, Á. (2013). ¿Políticas Públicas Abiertas? Apuntes exploratorios para el análisis y transformación de los diseños políticos bajo los principios del gobierno abierto. Instituto Universitario de Investigación </w:t>
            </w:r>
            <w:r w:rsidRPr="00982782">
              <w:rPr>
                <w:rFonts w:ascii="Arial" w:hAnsi="Arial" w:cs="Arial"/>
                <w:i/>
                <w:lang w:val="es-CO"/>
              </w:rPr>
              <w:lastRenderedPageBreak/>
              <w:t>Ortega y Gasset. http://www.gigapp.org/es/component/jresearch/?view=publicationytask=showyid=401</w:t>
            </w:r>
          </w:p>
          <w:p w14:paraId="0B957083" w14:textId="7A4A3AC2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Culebro Moreno, J. E. (2014). Modernización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Administrativa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y Post - Nueva Gestión Pública. De los dilemas y tensiones hacia las nuevas formas de coordinación y regulación. Revista Mexicana de Análisis Político y Administración Pública, </w:t>
            </w:r>
            <w:proofErr w:type="spellStart"/>
            <w:proofErr w:type="gramStart"/>
            <w:r w:rsidRPr="00982782">
              <w:rPr>
                <w:rFonts w:ascii="Arial" w:hAnsi="Arial" w:cs="Arial"/>
                <w:i/>
                <w:lang w:val="es-CO"/>
              </w:rPr>
              <w:t>iii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(</w:t>
            </w:r>
            <w:proofErr w:type="gramEnd"/>
            <w:r w:rsidRPr="00982782">
              <w:rPr>
                <w:rFonts w:ascii="Arial" w:hAnsi="Arial" w:cs="Arial"/>
                <w:i/>
                <w:lang w:val="es-CO"/>
              </w:rPr>
              <w:t>1), 53-74.</w:t>
            </w:r>
          </w:p>
          <w:p w14:paraId="0AA8690B" w14:textId="3AB69BA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Díaz Gibson, J.,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Civís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Zaragoza, M.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Longás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Mayayo, J. (2013). La gobernanza de redes socioeducativas: claves para una gestión exitosa. Revista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Interuniversitaria</w:t>
            </w:r>
            <w:r w:rsidRPr="00982782">
              <w:rPr>
                <w:rFonts w:ascii="Arial" w:hAnsi="Arial" w:cs="Arial"/>
                <w:i/>
                <w:lang w:val="es-CO"/>
              </w:rPr>
              <w:t>, Universidad de Salamanca, 25(2), 213-230. http://revistas.usal.es/index.php/1130-3743/article/view/11584</w:t>
            </w:r>
          </w:p>
          <w:p w14:paraId="775650DB" w14:textId="4EE7AECF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Dussauge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Laguna, M. (2009). ¿Todos los caminos llevan a la nueva gestión pública? Tres argumentos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sobre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las reformas administrativas en los países en desarrollo/transición. Estado, gobierno, gestión pública: Revista Chilena de Administración Pública, (13), 23-51. https://dialnet.unirioja.es/servlet/articulo?codigo=3329705</w:t>
            </w:r>
          </w:p>
          <w:p w14:paraId="4FF5AA7A" w14:textId="3610A4E0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Emmerich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G. E. (2011). Transparencia, rendición de cuentas, responsabilidad gubernamental y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participación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ciudadana. En J. Sosa (Comp.).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Transparencia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y rendición de cuentas. Biblioteca Básica de Administración Pública, Siglo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xxi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</w:t>
            </w:r>
          </w:p>
          <w:p w14:paraId="5E154FF5" w14:textId="26B4EEE1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>Espejo Ballivián, R. (2014). Heurística para políticas inclusivas. En M. H. Páez Fandiño, 100 años de Administración Pública: Retos y perspectivas. Memorias Congreso Internacional Conmemorativo de la Ley 4° de 1913 (pp. 271-281). Grupo de Publicaciones y Recursos Educativos.</w:t>
            </w:r>
          </w:p>
          <w:p w14:paraId="23A0CAAC" w14:textId="77777777" w:rsid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Estellés, E. (2012). ¿Qué es el Crowdsourcing? Hacia una definición integradora.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Crowdsourcing blog. http://www.crowdsourcing-blog.org/que-es-el</w:t>
            </w:r>
            <w:r w:rsidRPr="00982782">
              <w:rPr>
                <w:rFonts w:ascii="Arial" w:hAnsi="Arial" w:cs="Arial"/>
                <w:i/>
                <w:lang w:val="es-CO"/>
              </w:rPr>
              <w:t>crowdsourcing-definicion-de-crowdsourcing/</w:t>
            </w:r>
          </w:p>
          <w:p w14:paraId="19676657" w14:textId="7D517A9B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Fischer, F. (2009).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Democracy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Expertise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Oxford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University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Pres.</w:t>
            </w:r>
          </w:p>
          <w:p w14:paraId="2ECDE11D" w14:textId="7777777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>Fukuyama, F. (1998). Trust: la confianza. Ediciones B.</w:t>
            </w:r>
          </w:p>
          <w:p w14:paraId="24E3E454" w14:textId="388F9BA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Garzón, V. (2014, noviembre 11-14). Gestión para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resultados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de desarrollo como estrategia de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armonización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de intereses público-privados [Sesión en Congreso].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xix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Congreso Internacional del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clad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982782">
              <w:rPr>
                <w:rFonts w:ascii="Arial" w:hAnsi="Arial" w:cs="Arial"/>
                <w:i/>
                <w:lang w:val="es-CO"/>
              </w:rPr>
              <w:t>sobre la reforma del Estado y de la administración pública, Quito, Ecuador.</w:t>
            </w:r>
          </w:p>
          <w:p w14:paraId="0340BD42" w14:textId="76BC53C4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González-Chavarría, A. (2014). Análisis institucional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multiagente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: el problema de estructuración y agencia en la explicación de la emergencia de estructuras de gobernanza. Revista de Estudios Sociales, (49), 190-204. http://www.scielo.org.co/pdf/res/n49/n49a15.pdf</w:t>
            </w:r>
          </w:p>
          <w:p w14:paraId="3D682F53" w14:textId="65786CC3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Haro, F. d. (2013). ¿Qué Gobierno abierto para América Latina? La oportunidad y la tarea de la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subsidiariedad</w:t>
            </w:r>
            <w:r w:rsidRPr="00982782">
              <w:rPr>
                <w:rFonts w:ascii="Arial" w:hAnsi="Arial" w:cs="Arial"/>
                <w:i/>
                <w:lang w:val="es-CO"/>
              </w:rPr>
              <w:t>. Bien Común, (214), 130-134. http://www.fundacionpreciado.org.mx/biencomun/BC214/BC214.pdf</w:t>
            </w:r>
          </w:p>
          <w:p w14:paraId="6B3C3570" w14:textId="619C4973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Hernández Bonivento, J. A. (2015). Del Gobierno a la Gobernanza Local. Capacidades, instituciones y visiones de lo público en el proceso de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descentralización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en Colombia: estudio de casos. (Tesis doctoral). Universidad Complutense de Madrid,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982782">
              <w:rPr>
                <w:rFonts w:ascii="Arial" w:hAnsi="Arial" w:cs="Arial"/>
                <w:i/>
                <w:lang w:val="es-CO"/>
              </w:rPr>
              <w:t>Madrid, España. http://eprints.ucm.es/28088/1/T35640.pdf</w:t>
            </w:r>
          </w:p>
          <w:p w14:paraId="114DDF32" w14:textId="698DBBF0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Hintze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, J. (2008). La desorganización óptima. Revista del CLAD Reforma y democracia, (42), 131-172.</w:t>
            </w:r>
          </w:p>
          <w:p w14:paraId="737840A0" w14:textId="7777777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Howe, J. (2006).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rise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Crowdsourcing.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Wired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</w:t>
            </w:r>
          </w:p>
          <w:p w14:paraId="238A42FD" w14:textId="49D5D61F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lastRenderedPageBreak/>
              <w:t>Laffin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M. (2016)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Planning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in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England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: </w:t>
            </w:r>
            <w:proofErr w:type="gramStart"/>
            <w:r w:rsidRPr="00982782">
              <w:rPr>
                <w:rFonts w:ascii="Arial" w:hAnsi="Arial" w:cs="Arial"/>
                <w:i/>
                <w:lang w:val="es-CO"/>
              </w:rPr>
              <w:t xml:space="preserve">New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Management, Network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Governance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or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Post-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Democracy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?</w:t>
            </w:r>
            <w:proofErr w:type="gramEnd"/>
            <w:r w:rsidRPr="00982782">
              <w:rPr>
                <w:rFonts w:ascii="Arial" w:hAnsi="Arial" w:cs="Arial"/>
                <w:i/>
                <w:lang w:val="es-CO"/>
              </w:rPr>
              <w:t xml:space="preserve"> International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Review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Administrative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Sciences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, 82(2) 354-372. DOI: 10.1177/0020852315581807</w:t>
            </w:r>
          </w:p>
          <w:p w14:paraId="1FCE0D2A" w14:textId="61D51BFC" w:rsid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Luhmann, N. (1996) Confianza.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Anthropos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Universidad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Iberoamericana, Instituto de Sociología y Pontificia Universidad Católica de Chile.</w:t>
            </w:r>
          </w:p>
          <w:p w14:paraId="309C8EBE" w14:textId="0AB20079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López Maciel, G., Pertusa Palacios, A. y González Rosas, E. (2016). Una revisión de la literatura sobre Crowdsourcing.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Journal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Innovation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Knowledge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</w:t>
            </w:r>
          </w:p>
          <w:p w14:paraId="011CDA8E" w14:textId="77777777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Mariñez, F. (2015). Innovación pública. Fontamara. </w:t>
            </w:r>
          </w:p>
          <w:p w14:paraId="54CC8A47" w14:textId="00D8E413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Martins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F. H. y Marini, C. (2010). Una guía de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Gobernanza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para resultados en la Administración Pública.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Publix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</w:t>
            </w:r>
          </w:p>
          <w:p w14:paraId="672133BE" w14:textId="6F0E3CAC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Montecinos, E. (2012). Gestión municipal participativa: entre la nueva gerencia pública y la gobernanza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democrática</w:t>
            </w:r>
            <w:r w:rsidRPr="00982782">
              <w:rPr>
                <w:rFonts w:ascii="Arial" w:hAnsi="Arial" w:cs="Arial"/>
                <w:i/>
                <w:lang w:val="es-CO"/>
              </w:rPr>
              <w:t>. Revista Venezolana de Gerencia (RVG), 17(58), 345-364.</w:t>
            </w:r>
          </w:p>
          <w:p w14:paraId="7FCAE759" w14:textId="33581E31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Moore. J. (1996).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Death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competition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age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business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ecosystems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Fortune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133(7), 1. </w:t>
            </w:r>
          </w:p>
          <w:p w14:paraId="269E1CA5" w14:textId="77777777" w:rsid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Moore, M. H. (1998). Gestión estratégica y creación de valor en el sector público.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Paidos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</w:p>
          <w:p w14:paraId="43DB9E2B" w14:textId="09934615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>Moore, M. H. (2006). Creando valor público a través de asociaciones público-privadas. Revista Reforma y Democracia, 34, 22.</w:t>
            </w:r>
          </w:p>
          <w:p w14:paraId="49700D01" w14:textId="73859ABE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Moriconi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, M. (2012) Retórica, política y administración pública. Por qué fallan las reformas administrativas.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Casa Abierta al Tiempo. Universidad Autónoma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clacso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Metropolitana.</w:t>
            </w:r>
          </w:p>
          <w:p w14:paraId="618431D6" w14:textId="620C7A1C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Oszlak, O. (2013). La gestión pública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post-ngp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en América Latina: balance y desafíos pendientes [Jornada inaugural en la IX Conferencia de la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inpae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]. Enseñanza y Pedagogía de la Gestión de Políticas Públicas: Desafíos y Actualidad para un Nuevo Servicio Público, Santiago, Chile. </w:t>
            </w:r>
          </w:p>
          <w:p w14:paraId="62476482" w14:textId="3A8249DB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Penz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O. et al. (2017).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Post-bureaucratic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encounters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: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Affective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labour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in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employment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services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Critical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Social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Policy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, 1-22. 10.1177/0261018316681286</w:t>
            </w:r>
          </w:p>
          <w:p w14:paraId="22E80A80" w14:textId="54A78ABD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Peña de Carrillo, C. I. (2013). Tejido social para la gobernanza inteligente.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CyP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, 344-372. http://cambiosypermanencias.com/4_investigadores_academicos/12-Carrillo-Pen-tejido-socialgobernanza%20inteligente.pdf</w:t>
            </w:r>
          </w:p>
          <w:p w14:paraId="3A2AC40A" w14:textId="2C9B15FE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Pérez, R. (2014). Administración Pública y Gobernanza: indicadores de desempeño gubernamental. En M. Ramos, y V. Aguilera (Eds.), Ciencias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Administrativas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y Sociales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Handbook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T-IV (pp. 63-79).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ecorfan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 http://www.ecorfan.org/handbooks/</w:t>
            </w:r>
          </w:p>
          <w:p w14:paraId="6A328AF9" w14:textId="13855C8E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Pliscoff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C. (2012). Dilemas teóricos post nueva gestión pública como parte de una revisión de la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administración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pública para América Latina: reflexiones a partir del eterno problema de la corrupción [Ponencia en Congreso].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xvii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Congreso </w:t>
            </w:r>
            <w:r w:rsidR="00B434F1" w:rsidRPr="00982782">
              <w:rPr>
                <w:rFonts w:ascii="Arial" w:hAnsi="Arial" w:cs="Arial"/>
                <w:i/>
                <w:lang w:val="es-CO"/>
              </w:rPr>
              <w:t>Internacional</w:t>
            </w:r>
            <w:r w:rsidRPr="00982782">
              <w:rPr>
                <w:rFonts w:ascii="Arial" w:hAnsi="Arial" w:cs="Arial"/>
                <w:i/>
                <w:lang w:val="es-CO"/>
              </w:rPr>
              <w:t xml:space="preserve"> del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clad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sobre la Reforma del Estado y de la Administración Pública, 30 de octubre a 2 de noviembre, Cartagena, Colombia.</w:t>
            </w:r>
          </w:p>
          <w:p w14:paraId="226DEC72" w14:textId="0E9F7AF2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Pollitt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C. (2016).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Managerialism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Redux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?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Financial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Accountability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y Management, 32(4), 429-447. 10.1111/faam.12094</w:t>
            </w:r>
          </w:p>
          <w:p w14:paraId="23FBB359" w14:textId="2E439D5C" w:rsidR="00982782" w:rsidRP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982782">
              <w:rPr>
                <w:rFonts w:ascii="Arial" w:hAnsi="Arial" w:cs="Arial"/>
                <w:i/>
                <w:lang w:val="es-CO"/>
              </w:rPr>
              <w:t xml:space="preserve">Powell, W. W. y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DiMaggio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, P. J. (Eds.) (2012).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The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new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institutionalism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in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organizational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analysis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University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 xml:space="preserve"> Chicago 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Press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.</w:t>
            </w:r>
          </w:p>
          <w:p w14:paraId="41B08194" w14:textId="756E947E" w:rsidR="00982782" w:rsidRDefault="00982782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Pulido Daza, N. J. y Tibaduiza Ávila, A. L. (2013). </w:t>
            </w:r>
            <w:r w:rsidR="00B434F1" w:rsidRPr="00B434F1">
              <w:rPr>
                <w:rFonts w:ascii="Arial" w:hAnsi="Arial" w:cs="Arial"/>
                <w:i/>
                <w:lang w:val="es-CO"/>
              </w:rPr>
              <w:t>Dificultades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 técnicas para la implementación de la nueva normativa en el desarrollo de la estrategia de gobierno </w:t>
            </w:r>
            <w:r w:rsidRPr="00B434F1">
              <w:rPr>
                <w:rFonts w:ascii="Arial" w:hAnsi="Arial" w:cs="Arial"/>
                <w:i/>
                <w:lang w:val="es-CO"/>
              </w:rPr>
              <w:lastRenderedPageBreak/>
              <w:t>en línea y la gestión documental en Colombia: decretos 2578 y 2609 de 2012 (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agn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) y </w:t>
            </w:r>
            <w:r w:rsidRPr="00982782">
              <w:rPr>
                <w:rFonts w:ascii="Arial" w:hAnsi="Arial" w:cs="Arial"/>
                <w:i/>
                <w:lang w:val="es-CO"/>
              </w:rPr>
              <w:t>2693 de 2012 (</w:t>
            </w:r>
            <w:proofErr w:type="spellStart"/>
            <w:r w:rsidRPr="00982782">
              <w:rPr>
                <w:rFonts w:ascii="Arial" w:hAnsi="Arial" w:cs="Arial"/>
                <w:i/>
                <w:lang w:val="es-CO"/>
              </w:rPr>
              <w:t>MinTic</w:t>
            </w:r>
            <w:proofErr w:type="spellEnd"/>
            <w:r w:rsidRPr="00982782">
              <w:rPr>
                <w:rFonts w:ascii="Arial" w:hAnsi="Arial" w:cs="Arial"/>
                <w:i/>
                <w:lang w:val="es-CO"/>
              </w:rPr>
              <w:t>). Códices, 9(2), 115-140.</w:t>
            </w:r>
          </w:p>
          <w:p w14:paraId="33A031E2" w14:textId="62A45C25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Repetto, F. (2003). Capacidad estatal: requisito necesario para una mejor política social en América Latina [Sesión en Congreso]. VIII Congreso </w:t>
            </w:r>
            <w:r w:rsidRPr="00B434F1">
              <w:rPr>
                <w:rFonts w:ascii="Arial" w:hAnsi="Arial" w:cs="Arial"/>
                <w:i/>
                <w:lang w:val="es-CO"/>
              </w:rPr>
              <w:t>Internacional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 del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clad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 sobre la Reforma del Estado y de la Administración Pública.</w:t>
            </w:r>
          </w:p>
          <w:p w14:paraId="461EA508" w14:textId="6E9B83B5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Riascos A. E. (2010). El análisis multicriterio en la </w:t>
            </w:r>
            <w:r w:rsidRPr="00B434F1">
              <w:rPr>
                <w:rFonts w:ascii="Arial" w:hAnsi="Arial" w:cs="Arial"/>
                <w:i/>
                <w:lang w:val="es-CO"/>
              </w:rPr>
              <w:t>gestión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 de la Biodiversidad. Universidad Nacional de Colombia.</w:t>
            </w:r>
          </w:p>
          <w:p w14:paraId="0C98074A" w14:textId="3DF22346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Sandoval-Almazán, R. (2015). Gobierno abierto y transparencia: construyendo un marco </w:t>
            </w:r>
            <w:r w:rsidRPr="00B434F1">
              <w:rPr>
                <w:rFonts w:ascii="Arial" w:hAnsi="Arial" w:cs="Arial"/>
                <w:i/>
                <w:lang w:val="es-CO"/>
              </w:rPr>
              <w:t>conceptual</w:t>
            </w:r>
            <w:r w:rsidRPr="00B434F1">
              <w:rPr>
                <w:rFonts w:ascii="Arial" w:hAnsi="Arial" w:cs="Arial"/>
                <w:i/>
                <w:lang w:val="es-CO"/>
              </w:rPr>
              <w:t>. Convergencia. Revista de Ciencias Sociales, 22(68), 203-227. http://www.redalyc.org/articulo.oa?id=10536227008</w:t>
            </w:r>
          </w:p>
          <w:p w14:paraId="6BA426D2" w14:textId="62D97910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>Valenzuela Mendoza, R. (2013). Delimitar Gobierno Abierto para ampliar la colaboración con una sociedad más abierta. Estado, Gobierno, Gestión Pública (21), 127-158.</w:t>
            </w:r>
          </w:p>
          <w:p w14:paraId="17CA8839" w14:textId="6F7636BE" w:rsid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van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Gestel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, N. y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Teelken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, C. (2004). Servicios de </w:t>
            </w:r>
            <w:r w:rsidRPr="00B434F1">
              <w:rPr>
                <w:rFonts w:ascii="Arial" w:hAnsi="Arial" w:cs="Arial"/>
                <w:i/>
                <w:lang w:val="es-CO"/>
              </w:rPr>
              <w:t>educación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 superior y de seguridad social en los Países Bajos: institucionalismo y nueva gestión política. Gestión y Política Pública, </w:t>
            </w:r>
            <w:proofErr w:type="spellStart"/>
            <w:proofErr w:type="gramStart"/>
            <w:r w:rsidRPr="00B434F1">
              <w:rPr>
                <w:rFonts w:ascii="Arial" w:hAnsi="Arial" w:cs="Arial"/>
                <w:i/>
                <w:lang w:val="es-CO"/>
              </w:rPr>
              <w:t>xiii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>(</w:t>
            </w:r>
            <w:proofErr w:type="gramEnd"/>
            <w:r w:rsidRPr="00B434F1">
              <w:rPr>
                <w:rFonts w:ascii="Arial" w:hAnsi="Arial" w:cs="Arial"/>
                <w:i/>
                <w:lang w:val="es-CO"/>
              </w:rPr>
              <w:t>2), 427-467.</w:t>
            </w:r>
          </w:p>
          <w:p w14:paraId="41B03200" w14:textId="7D8FDB99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>Vásquez Avellaneda, D. M. y Navarrete Peñuela, M. (2014). La gobernabilidad local en el contexto de la Nueva Gestión Pública: requisito para la Gestión Ambiental Urbana. Revista Luna Azul,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B434F1">
              <w:rPr>
                <w:rFonts w:ascii="Arial" w:hAnsi="Arial" w:cs="Arial"/>
                <w:i/>
                <w:lang w:val="es-CO"/>
              </w:rPr>
              <w:t>(39), 63-88. http://www.redalyc.org/articulo.oa?id=321732142005</w:t>
            </w:r>
          </w:p>
          <w:p w14:paraId="2B417AE5" w14:textId="1930BBAE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Vázquez Ceballos, C. A. (2014). Gobernanza y redes de política pública: un estudio de la vinculación entre gobierno, actores público-sociales y privados en un área local turística. Revista Mexicana de Análisis Político y Administración Pública,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iii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>(i), 147-178. http://www.remap.ugto.mx/index.php/remap/article/view/73/67</w:t>
            </w:r>
          </w:p>
          <w:p w14:paraId="665A0C24" w14:textId="7D183D44" w:rsidR="00B434F1" w:rsidRP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Villoria, M. (2013). Paradojas y tensiones de la </w:t>
            </w:r>
            <w:r w:rsidRPr="00B434F1">
              <w:rPr>
                <w:rFonts w:ascii="Arial" w:hAnsi="Arial" w:cs="Arial"/>
                <w:i/>
                <w:lang w:val="es-CO"/>
              </w:rPr>
              <w:t>innovación</w:t>
            </w:r>
            <w:r w:rsidRPr="00B434F1">
              <w:rPr>
                <w:rFonts w:ascii="Arial" w:hAnsi="Arial" w:cs="Arial"/>
                <w:i/>
                <w:lang w:val="es-CO"/>
              </w:rPr>
              <w:t xml:space="preserve">: el Caso del Open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Government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. P3T,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Journal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of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Public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Policies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 and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Territories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.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Participation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,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Citizen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, Control,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Governance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>, (2), 11-14. http://www.politicsandterritories.com/?journal=p3typage=articleyop=viewypath=41ypath=62.</w:t>
            </w:r>
          </w:p>
          <w:p w14:paraId="41FF9441" w14:textId="77777777" w:rsidR="00B434F1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r w:rsidRPr="00B434F1">
              <w:rPr>
                <w:rFonts w:ascii="Arial" w:hAnsi="Arial" w:cs="Arial"/>
                <w:i/>
                <w:lang w:val="es-CO"/>
              </w:rPr>
              <w:t xml:space="preserve">Weber, M. (2014). Economía y sociedad (3 ed.).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fce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>.</w:t>
            </w:r>
          </w:p>
          <w:p w14:paraId="79D9010F" w14:textId="3C3BD0D6" w:rsidR="00B434F1" w:rsidRPr="00F85ECB" w:rsidRDefault="00B434F1" w:rsidP="00B434F1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Arial" w:hAnsi="Arial" w:cs="Arial"/>
                <w:i/>
                <w:lang w:val="es-CO"/>
              </w:rPr>
            </w:pP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Zurbriggen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 xml:space="preserve">, C. y González, M. G. (2014). Innovación y </w:t>
            </w:r>
            <w:proofErr w:type="spellStart"/>
            <w:r w:rsidRPr="00B434F1">
              <w:rPr>
                <w:rFonts w:ascii="Arial" w:hAnsi="Arial" w:cs="Arial"/>
                <w:i/>
                <w:lang w:val="es-CO"/>
              </w:rPr>
              <w:t>co-creación</w:t>
            </w:r>
            <w:proofErr w:type="spellEnd"/>
            <w:r w:rsidRPr="00B434F1">
              <w:rPr>
                <w:rFonts w:ascii="Arial" w:hAnsi="Arial" w:cs="Arial"/>
                <w:i/>
                <w:lang w:val="es-CO"/>
              </w:rPr>
              <w:t>. Nuevos desafíos para las políticas públicas. Revista de Gestión Pública, 3(2), 329-361.</w:t>
            </w:r>
          </w:p>
        </w:tc>
      </w:tr>
      <w:tr w:rsidR="00EB0ACF" w:rsidRPr="00323347" w14:paraId="53DAA041" w14:textId="77777777" w:rsidTr="00971E48">
        <w:tc>
          <w:tcPr>
            <w:tcW w:w="8494" w:type="dxa"/>
          </w:tcPr>
          <w:p w14:paraId="0DDC349A" w14:textId="0EA3F24C" w:rsidR="00EB0ACF" w:rsidRPr="00323347" w:rsidRDefault="00967950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2. Componente Metodológico</w:t>
            </w:r>
          </w:p>
        </w:tc>
      </w:tr>
      <w:tr w:rsidR="00967950" w:rsidRPr="00323347" w14:paraId="4480EC14" w14:textId="77777777" w:rsidTr="00971E48">
        <w:tc>
          <w:tcPr>
            <w:tcW w:w="8494" w:type="dxa"/>
          </w:tcPr>
          <w:p w14:paraId="1EFBFF61" w14:textId="78742CFD" w:rsidR="00967950" w:rsidRPr="00323347" w:rsidRDefault="00323347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2.1 Estructura</w:t>
            </w:r>
            <w:r w:rsidR="00967950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del texto (introducción, sección teórica, sección de contexto</w:t>
            </w:r>
          </w:p>
        </w:tc>
      </w:tr>
      <w:tr w:rsidR="00EB0ACF" w:rsidRPr="00323347" w14:paraId="3DF8467F" w14:textId="77777777" w:rsidTr="00971E48">
        <w:tc>
          <w:tcPr>
            <w:tcW w:w="8494" w:type="dxa"/>
          </w:tcPr>
          <w:p w14:paraId="239EEBB4" w14:textId="1B8E0EC3" w:rsidR="005537B1" w:rsidRPr="005537B1" w:rsidRDefault="005537B1" w:rsidP="005537B1">
            <w:pPr>
              <w:spacing w:after="0"/>
              <w:rPr>
                <w:rFonts w:ascii="Arial" w:hAnsi="Arial" w:cs="Arial"/>
                <w:i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Introducción.</w:t>
            </w:r>
          </w:p>
          <w:p w14:paraId="22C5154F" w14:textId="33D91C64" w:rsidR="005537B1" w:rsidRPr="005537B1" w:rsidRDefault="005537B1" w:rsidP="005537B1">
            <w:pPr>
              <w:spacing w:after="0"/>
              <w:rPr>
                <w:rFonts w:ascii="Arial" w:hAnsi="Arial" w:cs="Arial"/>
                <w:i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Referencias teóricas.</w:t>
            </w:r>
          </w:p>
          <w:p w14:paraId="7DCF4506" w14:textId="2B230218" w:rsidR="005537B1" w:rsidRPr="005537B1" w:rsidRDefault="005537B1" w:rsidP="005537B1">
            <w:pPr>
              <w:spacing w:after="0"/>
              <w:rPr>
                <w:rFonts w:ascii="Arial" w:hAnsi="Arial" w:cs="Arial"/>
                <w:i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Metodología.</w:t>
            </w:r>
          </w:p>
          <w:p w14:paraId="1397E268" w14:textId="79141D6B" w:rsidR="005537B1" w:rsidRPr="005537B1" w:rsidRDefault="005537B1" w:rsidP="005537B1">
            <w:pPr>
              <w:spacing w:after="0"/>
              <w:rPr>
                <w:rFonts w:ascii="Arial" w:hAnsi="Arial" w:cs="Arial"/>
                <w:i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Análisis.</w:t>
            </w:r>
          </w:p>
          <w:p w14:paraId="44D5608F" w14:textId="13B995BF" w:rsidR="005537B1" w:rsidRPr="005537B1" w:rsidRDefault="005537B1" w:rsidP="005537B1">
            <w:pPr>
              <w:spacing w:after="0"/>
              <w:rPr>
                <w:rFonts w:ascii="Arial" w:hAnsi="Arial" w:cs="Arial"/>
                <w:i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Conclusiones.</w:t>
            </w:r>
          </w:p>
          <w:p w14:paraId="6454CC4F" w14:textId="3D436E4A" w:rsidR="001566D0" w:rsidRPr="00323347" w:rsidRDefault="005537B1" w:rsidP="005537B1">
            <w:pPr>
              <w:spacing w:after="0"/>
              <w:rPr>
                <w:rFonts w:ascii="Arial" w:hAnsi="Arial" w:cs="Arial"/>
                <w:lang w:val="es-CO"/>
              </w:rPr>
            </w:pPr>
            <w:r w:rsidRPr="005537B1">
              <w:rPr>
                <w:rFonts w:ascii="Arial" w:hAnsi="Arial" w:cs="Arial"/>
                <w:i/>
                <w:lang w:val="es-CO"/>
              </w:rPr>
              <w:t>Referencias bibliográficas</w:t>
            </w:r>
            <w:r w:rsidR="00C56FB2" w:rsidRPr="00323347">
              <w:rPr>
                <w:rFonts w:ascii="Arial" w:hAnsi="Arial" w:cs="Arial"/>
                <w:lang w:val="es-CO"/>
              </w:rPr>
              <w:t>.</w:t>
            </w:r>
          </w:p>
          <w:p w14:paraId="6FAC3EF6" w14:textId="256D9F8B" w:rsidR="001566D0" w:rsidRPr="00323347" w:rsidRDefault="001566D0" w:rsidP="008C02FF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300782" w:rsidRPr="00323347" w14:paraId="6095E6CC" w14:textId="77777777" w:rsidTr="00971E48">
        <w:tc>
          <w:tcPr>
            <w:tcW w:w="8494" w:type="dxa"/>
          </w:tcPr>
          <w:p w14:paraId="78B55BF6" w14:textId="1F1B2E1A" w:rsidR="00300782" w:rsidRPr="00323347" w:rsidRDefault="00967950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2.2 </w:t>
            </w:r>
            <w:r w:rsidR="00300782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Datos: Fuente de los datos: 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¿</w:t>
            </w:r>
            <w:r w:rsidR="00300782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quién los produce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?</w:t>
            </w:r>
          </w:p>
        </w:tc>
      </w:tr>
      <w:tr w:rsidR="00300782" w:rsidRPr="00323347" w14:paraId="0AF8FBAC" w14:textId="77777777" w:rsidTr="00971E48">
        <w:trPr>
          <w:trHeight w:val="1017"/>
        </w:trPr>
        <w:tc>
          <w:tcPr>
            <w:tcW w:w="8494" w:type="dxa"/>
          </w:tcPr>
          <w:p w14:paraId="71C418D1" w14:textId="0011383C" w:rsidR="00300782" w:rsidRPr="00323347" w:rsidRDefault="005537B1" w:rsidP="00967950">
            <w:pPr>
              <w:spacing w:after="0"/>
              <w:rPr>
                <w:rFonts w:ascii="Arial" w:hAnsi="Arial" w:cs="Arial"/>
                <w:lang w:val="es-CO"/>
              </w:rPr>
            </w:pPr>
            <w:r w:rsidRPr="005537B1">
              <w:rPr>
                <w:rFonts w:ascii="Arial" w:hAnsi="Arial" w:cs="Arial"/>
                <w:lang w:val="es-CO"/>
              </w:rPr>
              <w:t>revistas especializadas, libros</w:t>
            </w:r>
            <w:r>
              <w:rPr>
                <w:rFonts w:ascii="Arial" w:hAnsi="Arial" w:cs="Arial"/>
                <w:lang w:val="es-CO"/>
              </w:rPr>
              <w:t xml:space="preserve"> e</w:t>
            </w:r>
            <w:r w:rsidRPr="005537B1">
              <w:rPr>
                <w:rFonts w:ascii="Arial" w:hAnsi="Arial" w:cs="Arial"/>
                <w:lang w:val="es-CO"/>
              </w:rPr>
              <w:t xml:space="preserve"> informes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300782" w:rsidRPr="00323347" w14:paraId="6066C8A0" w14:textId="77777777" w:rsidTr="00971E48">
        <w:tc>
          <w:tcPr>
            <w:tcW w:w="8494" w:type="dxa"/>
          </w:tcPr>
          <w:p w14:paraId="0CDB9EC6" w14:textId="348326B3" w:rsidR="00300782" w:rsidRPr="00323347" w:rsidRDefault="00967950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 xml:space="preserve">2.3 </w:t>
            </w:r>
            <w:r w:rsidR="00300782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Herramientas metodológicas (entrevistas, estadísticas, revisión de prensa, revisión normativa, cualitativo, cuantitativo, </w:t>
            </w:r>
            <w:r w:rsidR="00971E48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etc.</w:t>
            </w:r>
            <w:r w:rsidR="00300782"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)</w:t>
            </w:r>
          </w:p>
        </w:tc>
      </w:tr>
      <w:tr w:rsidR="00300782" w:rsidRPr="00323347" w14:paraId="3CAF1CD4" w14:textId="77777777" w:rsidTr="00971E48">
        <w:trPr>
          <w:trHeight w:val="1622"/>
        </w:trPr>
        <w:tc>
          <w:tcPr>
            <w:tcW w:w="8494" w:type="dxa"/>
          </w:tcPr>
          <w:p w14:paraId="622B92E4" w14:textId="7394D1FF" w:rsidR="00300782" w:rsidRPr="00323347" w:rsidRDefault="005537B1" w:rsidP="00D10D2F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5537B1">
              <w:rPr>
                <w:rFonts w:ascii="Arial" w:hAnsi="Arial" w:cs="Arial"/>
                <w:lang w:val="es-CO"/>
              </w:rPr>
              <w:t xml:space="preserve">El texto se apoya en una revisión bibliográfica de fuentes académicas y documentales, así como en ejemplos empíricos de iniciativas de gobernanza e innovación pública en diferentes contextos. </w:t>
            </w:r>
          </w:p>
        </w:tc>
      </w:tr>
      <w:tr w:rsidR="00300782" w:rsidRPr="00323347" w14:paraId="6BAC7D78" w14:textId="77777777" w:rsidTr="00971E48">
        <w:tc>
          <w:tcPr>
            <w:tcW w:w="8494" w:type="dxa"/>
          </w:tcPr>
          <w:p w14:paraId="24F1CF5A" w14:textId="77777777" w:rsidR="00300782" w:rsidRPr="00323347" w:rsidRDefault="00300782" w:rsidP="0096795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323347">
              <w:rPr>
                <w:rFonts w:ascii="Arial" w:hAnsi="Arial" w:cs="Arial"/>
                <w:b/>
                <w:sz w:val="24"/>
                <w:szCs w:val="24"/>
                <w:lang w:val="es-CO"/>
              </w:rPr>
              <w:t>Conclusiones</w:t>
            </w:r>
          </w:p>
        </w:tc>
      </w:tr>
      <w:tr w:rsidR="00300782" w:rsidRPr="00323347" w14:paraId="31C5161F" w14:textId="77777777" w:rsidTr="00971E48">
        <w:trPr>
          <w:trHeight w:val="965"/>
        </w:trPr>
        <w:tc>
          <w:tcPr>
            <w:tcW w:w="8494" w:type="dxa"/>
          </w:tcPr>
          <w:p w14:paraId="53565343" w14:textId="22FC716E" w:rsidR="006E40FA" w:rsidRPr="00323347" w:rsidRDefault="00AC59AB" w:rsidP="00D10D2F">
            <w:pPr>
              <w:spacing w:after="0"/>
              <w:jc w:val="both"/>
              <w:rPr>
                <w:rFonts w:ascii="Arial" w:hAnsi="Arial" w:cs="Arial"/>
                <w:lang w:val="es-CO"/>
              </w:rPr>
            </w:pPr>
            <w:r w:rsidRPr="00AC59AB">
              <w:rPr>
                <w:rFonts w:ascii="Arial" w:hAnsi="Arial" w:cs="Arial"/>
                <w:lang w:val="es-CO"/>
              </w:rPr>
              <w:t xml:space="preserve">El texto concluye que la </w:t>
            </w:r>
            <w:proofErr w:type="spellStart"/>
            <w:r w:rsidRPr="00AC59AB">
              <w:rPr>
                <w:rFonts w:ascii="Arial" w:hAnsi="Arial" w:cs="Arial"/>
                <w:lang w:val="es-CO"/>
              </w:rPr>
              <w:t>posnueva</w:t>
            </w:r>
            <w:proofErr w:type="spellEnd"/>
            <w:r w:rsidRPr="00AC59AB">
              <w:rPr>
                <w:rFonts w:ascii="Arial" w:hAnsi="Arial" w:cs="Arial"/>
                <w:lang w:val="es-CO"/>
              </w:rPr>
              <w:t xml:space="preserve"> gestión pública, la gobernanza y la innovación son elementos clave para mejorar la calidad y la eficiencia de los servicios públicos, así como para fortalecer la participación ciudadana y la rendición de cuentas en el ámbito público.</w:t>
            </w:r>
          </w:p>
        </w:tc>
      </w:tr>
    </w:tbl>
    <w:p w14:paraId="24D9A8D3" w14:textId="791DA9DA" w:rsidR="00F71FDD" w:rsidRDefault="00F71FDD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p w14:paraId="54A2F31B" w14:textId="77777777" w:rsidR="00E42852" w:rsidRPr="00785062" w:rsidRDefault="00E42852" w:rsidP="00E4285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785062">
        <w:rPr>
          <w:rFonts w:ascii="Times New Roman" w:hAnsi="Times New Roman"/>
          <w:sz w:val="24"/>
          <w:szCs w:val="24"/>
          <w:lang w:val="es-CO"/>
        </w:rPr>
        <w:t>Elaboración de la Ficha de Lectura por: Luis Enrique Guerrero Ibarra, ESAP.</w:t>
      </w:r>
      <w:r>
        <w:rPr>
          <w:rFonts w:ascii="Times New Roman" w:hAnsi="Times New Roman"/>
          <w:sz w:val="24"/>
          <w:szCs w:val="24"/>
          <w:lang w:val="es-CO"/>
        </w:rPr>
        <w:t xml:space="preserve"> Bogotá.</w:t>
      </w:r>
    </w:p>
    <w:p w14:paraId="0209FFB2" w14:textId="77777777" w:rsidR="00E42852" w:rsidRPr="00323347" w:rsidRDefault="00E42852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sectPr w:rsidR="00E42852" w:rsidRPr="00323347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7331" w14:textId="77777777" w:rsidR="00AC7539" w:rsidRDefault="00AC7539" w:rsidP="000E1B6E">
      <w:pPr>
        <w:spacing w:after="0" w:line="240" w:lineRule="auto"/>
      </w:pPr>
      <w:r>
        <w:separator/>
      </w:r>
    </w:p>
  </w:endnote>
  <w:endnote w:type="continuationSeparator" w:id="0">
    <w:p w14:paraId="3DE8DE9E" w14:textId="77777777" w:rsidR="00AC7539" w:rsidRDefault="00AC7539" w:rsidP="000E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62A4" w14:textId="77777777" w:rsidR="00AC7539" w:rsidRDefault="00AC7539" w:rsidP="000E1B6E">
      <w:pPr>
        <w:spacing w:after="0" w:line="240" w:lineRule="auto"/>
      </w:pPr>
      <w:r>
        <w:separator/>
      </w:r>
    </w:p>
  </w:footnote>
  <w:footnote w:type="continuationSeparator" w:id="0">
    <w:p w14:paraId="424A9DB6" w14:textId="77777777" w:rsidR="00AC7539" w:rsidRDefault="00AC7539" w:rsidP="000E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6568"/>
    <w:multiLevelType w:val="hybridMultilevel"/>
    <w:tmpl w:val="407C4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8305759">
    <w:abstractNumId w:val="14"/>
  </w:num>
  <w:num w:numId="2" w16cid:durableId="392974362">
    <w:abstractNumId w:val="12"/>
  </w:num>
  <w:num w:numId="3" w16cid:durableId="1670325437">
    <w:abstractNumId w:val="16"/>
  </w:num>
  <w:num w:numId="4" w16cid:durableId="2046716620">
    <w:abstractNumId w:val="7"/>
  </w:num>
  <w:num w:numId="5" w16cid:durableId="1947808557">
    <w:abstractNumId w:val="5"/>
  </w:num>
  <w:num w:numId="6" w16cid:durableId="238446993">
    <w:abstractNumId w:val="11"/>
  </w:num>
  <w:num w:numId="7" w16cid:durableId="1692491710">
    <w:abstractNumId w:val="9"/>
  </w:num>
  <w:num w:numId="8" w16cid:durableId="1720086514">
    <w:abstractNumId w:val="13"/>
  </w:num>
  <w:num w:numId="9" w16cid:durableId="453910168">
    <w:abstractNumId w:val="2"/>
  </w:num>
  <w:num w:numId="10" w16cid:durableId="1086076248">
    <w:abstractNumId w:val="4"/>
  </w:num>
  <w:num w:numId="11" w16cid:durableId="1766993380">
    <w:abstractNumId w:val="19"/>
  </w:num>
  <w:num w:numId="12" w16cid:durableId="886143416">
    <w:abstractNumId w:val="24"/>
  </w:num>
  <w:num w:numId="13" w16cid:durableId="1130393568">
    <w:abstractNumId w:val="17"/>
  </w:num>
  <w:num w:numId="14" w16cid:durableId="543448533">
    <w:abstractNumId w:val="21"/>
  </w:num>
  <w:num w:numId="15" w16cid:durableId="579021017">
    <w:abstractNumId w:val="8"/>
  </w:num>
  <w:num w:numId="16" w16cid:durableId="144781891">
    <w:abstractNumId w:val="0"/>
  </w:num>
  <w:num w:numId="17" w16cid:durableId="362830295">
    <w:abstractNumId w:val="15"/>
  </w:num>
  <w:num w:numId="18" w16cid:durableId="643853125">
    <w:abstractNumId w:val="23"/>
  </w:num>
  <w:num w:numId="19" w16cid:durableId="1502307723">
    <w:abstractNumId w:val="10"/>
  </w:num>
  <w:num w:numId="20" w16cid:durableId="1453405908">
    <w:abstractNumId w:val="20"/>
  </w:num>
  <w:num w:numId="21" w16cid:durableId="954336811">
    <w:abstractNumId w:val="25"/>
  </w:num>
  <w:num w:numId="22" w16cid:durableId="2089384298">
    <w:abstractNumId w:val="1"/>
  </w:num>
  <w:num w:numId="23" w16cid:durableId="806699950">
    <w:abstractNumId w:val="22"/>
  </w:num>
  <w:num w:numId="24" w16cid:durableId="971135815">
    <w:abstractNumId w:val="3"/>
  </w:num>
  <w:num w:numId="25" w16cid:durableId="1906914925">
    <w:abstractNumId w:val="18"/>
  </w:num>
  <w:num w:numId="26" w16cid:durableId="2138717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B3201"/>
    <w:rsid w:val="000D070E"/>
    <w:rsid w:val="000E1018"/>
    <w:rsid w:val="000E1B6E"/>
    <w:rsid w:val="000E23A4"/>
    <w:rsid w:val="000E5EFF"/>
    <w:rsid w:val="000F3B72"/>
    <w:rsid w:val="00116DAC"/>
    <w:rsid w:val="00146A67"/>
    <w:rsid w:val="001566D0"/>
    <w:rsid w:val="001C3AFC"/>
    <w:rsid w:val="001C4246"/>
    <w:rsid w:val="001F2DA0"/>
    <w:rsid w:val="00227BAB"/>
    <w:rsid w:val="002824B4"/>
    <w:rsid w:val="002A32C1"/>
    <w:rsid w:val="002A60A2"/>
    <w:rsid w:val="002B5CE5"/>
    <w:rsid w:val="00300782"/>
    <w:rsid w:val="00307CE8"/>
    <w:rsid w:val="003132BB"/>
    <w:rsid w:val="00317649"/>
    <w:rsid w:val="00323347"/>
    <w:rsid w:val="00325671"/>
    <w:rsid w:val="0033510A"/>
    <w:rsid w:val="0034675D"/>
    <w:rsid w:val="00363D36"/>
    <w:rsid w:val="00367062"/>
    <w:rsid w:val="003C2131"/>
    <w:rsid w:val="00410B9C"/>
    <w:rsid w:val="00425A02"/>
    <w:rsid w:val="004536AB"/>
    <w:rsid w:val="00461285"/>
    <w:rsid w:val="00467A25"/>
    <w:rsid w:val="004722BD"/>
    <w:rsid w:val="00491460"/>
    <w:rsid w:val="004C399D"/>
    <w:rsid w:val="004C40B5"/>
    <w:rsid w:val="004D0CB8"/>
    <w:rsid w:val="005537B1"/>
    <w:rsid w:val="00571438"/>
    <w:rsid w:val="0057355D"/>
    <w:rsid w:val="00576805"/>
    <w:rsid w:val="005879FC"/>
    <w:rsid w:val="0059398F"/>
    <w:rsid w:val="005D1C17"/>
    <w:rsid w:val="005D6EC0"/>
    <w:rsid w:val="005F2652"/>
    <w:rsid w:val="00611A5B"/>
    <w:rsid w:val="006336B9"/>
    <w:rsid w:val="006711B5"/>
    <w:rsid w:val="00671C26"/>
    <w:rsid w:val="00674EAC"/>
    <w:rsid w:val="00696534"/>
    <w:rsid w:val="006B4203"/>
    <w:rsid w:val="006D70AD"/>
    <w:rsid w:val="006E40FA"/>
    <w:rsid w:val="00700E34"/>
    <w:rsid w:val="00706F08"/>
    <w:rsid w:val="00713851"/>
    <w:rsid w:val="00722555"/>
    <w:rsid w:val="00733A9B"/>
    <w:rsid w:val="0076316E"/>
    <w:rsid w:val="007A3C8F"/>
    <w:rsid w:val="00801ED6"/>
    <w:rsid w:val="00825C7A"/>
    <w:rsid w:val="008272C5"/>
    <w:rsid w:val="00833E12"/>
    <w:rsid w:val="00834599"/>
    <w:rsid w:val="00845BAE"/>
    <w:rsid w:val="00890A47"/>
    <w:rsid w:val="00893C37"/>
    <w:rsid w:val="008C02FF"/>
    <w:rsid w:val="008C21C6"/>
    <w:rsid w:val="008D3253"/>
    <w:rsid w:val="008F1676"/>
    <w:rsid w:val="00916FCC"/>
    <w:rsid w:val="00930A90"/>
    <w:rsid w:val="00942B67"/>
    <w:rsid w:val="00967950"/>
    <w:rsid w:val="00971E48"/>
    <w:rsid w:val="00982782"/>
    <w:rsid w:val="009B28E7"/>
    <w:rsid w:val="009D3885"/>
    <w:rsid w:val="009E04F5"/>
    <w:rsid w:val="009F0CF4"/>
    <w:rsid w:val="00A70991"/>
    <w:rsid w:val="00AA720C"/>
    <w:rsid w:val="00AB1A0C"/>
    <w:rsid w:val="00AC59AB"/>
    <w:rsid w:val="00AC59EC"/>
    <w:rsid w:val="00AC7539"/>
    <w:rsid w:val="00AE56E1"/>
    <w:rsid w:val="00B11DA6"/>
    <w:rsid w:val="00B134BA"/>
    <w:rsid w:val="00B20FC6"/>
    <w:rsid w:val="00B434F1"/>
    <w:rsid w:val="00B44FF0"/>
    <w:rsid w:val="00B74F75"/>
    <w:rsid w:val="00B804ED"/>
    <w:rsid w:val="00B83741"/>
    <w:rsid w:val="00B9547C"/>
    <w:rsid w:val="00BD4E4E"/>
    <w:rsid w:val="00BD7729"/>
    <w:rsid w:val="00C21738"/>
    <w:rsid w:val="00C373A3"/>
    <w:rsid w:val="00C44731"/>
    <w:rsid w:val="00C56FB2"/>
    <w:rsid w:val="00C7108F"/>
    <w:rsid w:val="00C76FE2"/>
    <w:rsid w:val="00CB0C4F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42852"/>
    <w:rsid w:val="00E63E7D"/>
    <w:rsid w:val="00E90CEA"/>
    <w:rsid w:val="00EB0ACF"/>
    <w:rsid w:val="00EC7EB1"/>
    <w:rsid w:val="00ED70D1"/>
    <w:rsid w:val="00EF6755"/>
    <w:rsid w:val="00F01D4B"/>
    <w:rsid w:val="00F26B7A"/>
    <w:rsid w:val="00F37090"/>
    <w:rsid w:val="00F71FDD"/>
    <w:rsid w:val="00F85ECB"/>
    <w:rsid w:val="00FA0BA6"/>
    <w:rsid w:val="00FB3D5C"/>
    <w:rsid w:val="00F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ABE53B3A-4686-4008-8794-041BEFC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2217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6</cp:revision>
  <dcterms:created xsi:type="dcterms:W3CDTF">2023-03-29T20:16:00Z</dcterms:created>
  <dcterms:modified xsi:type="dcterms:W3CDTF">2023-03-29T22:06:00Z</dcterms:modified>
</cp:coreProperties>
</file>