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>
          <w:rFonts w:ascii="Arial;Arial" w:hAnsi="Arial;Arial" w:eastAsia="Times New Roman;Britannic Bold" w:cs="Arial;Arial"/>
          <w:b/>
          <w:b/>
          <w:bCs/>
          <w:color w:val="auto"/>
          <w:sz w:val="36"/>
          <w:szCs w:val="36"/>
          <w:lang w:val="en-US" w:bidi="ar-SA"/>
        </w:rPr>
      </w:pPr>
      <w:r>
        <w:rPr>
          <w:rFonts w:eastAsia="Times New Roman;Britannic Bold" w:cs="Arial;Arial"/>
          <w:b/>
          <w:bCs/>
          <w:color w:val="auto"/>
          <w:sz w:val="36"/>
          <w:szCs w:val="36"/>
          <w:lang w:val="en-US" w:bidi="ar-SA"/>
        </w:rPr>
        <w:t>IziMec</w:t>
      </w:r>
    </w:p>
    <w:p>
      <w:pPr>
        <w:pStyle w:val="Ttulo"/>
        <w:jc w:val="right"/>
        <w:rPr/>
      </w:pPr>
      <w:r>
        <w:rPr/>
        <w:t xml:space="preserve">Especificação de Caso de Uso: </w:t>
      </w:r>
      <w:r>
        <w:rPr>
          <w:rFonts w:eastAsia="Times New Roman;Britannic Bold" w:cs="Arial;Arial"/>
          <w:b/>
          <w:bCs/>
          <w:color w:val="auto"/>
          <w:sz w:val="36"/>
          <w:szCs w:val="36"/>
          <w:lang w:val="en-US" w:bidi="ar-SA"/>
        </w:rPr>
        <w:t>Inventario</w:t>
      </w:r>
    </w:p>
    <w:p>
      <w:pPr>
        <w:pStyle w:val="Ttulo"/>
        <w:jc w:val="right"/>
        <w:rPr/>
      </w:pPr>
      <w:r>
        <w:rPr/>
      </w:r>
    </w:p>
    <w:p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Corpodotexto"/>
        <w:rPr>
          <w:lang w:val="fr-FR"/>
        </w:rPr>
      </w:pPr>
      <w:r>
        <w:rPr>
          <w:lang w:val="fr-FR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  <w:pStyle w:val="Corpodotexto"/>
        <w:rPr>
          <w:lang w:val="fr-FR"/>
        </w:rPr>
      </w:pPr>
      <w:r>
        <w:rPr>
          <w:lang w:val="fr-FR"/>
        </w:rPr>
      </w:r>
    </w:p>
    <w:p>
      <w:pPr>
        <w:pStyle w:val="Ttulo"/>
        <w:rPr>
          <w:lang w:val="fr-FR"/>
        </w:rPr>
      </w:pPr>
      <w:r>
        <w:rPr>
          <w:lang w:val="fr-FR"/>
        </w:rPr>
        <w:t>Histórico da Revisão</w:t>
      </w:r>
    </w:p>
    <w:tbl>
      <w:tblPr>
        <w:tblW w:w="9519" w:type="dxa"/>
        <w:jc w:val="left"/>
        <w:tblInd w:w="-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19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 xml:space="preserve">Criação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>Rafael da Silva Reis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"/>
        <w:rPr>
          <w:lang w:val="pt-BR"/>
        </w:rPr>
      </w:pPr>
      <w:r>
        <w:rPr>
          <w:lang w:val="pt-BR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  Gestão de Clientes</w:t>
            <w:tab/>
          </w:r>
          <w:hyperlink w:anchor="__RefHeading___Toc1464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1.1.  Breve Descrição</w:t>
            <w:tab/>
          </w:r>
          <w:hyperlink w:anchor="__RefHeading___Toc18208176">
            <w:r>
              <w:rPr>
                <w:rStyle w:val="Vnculodendice"/>
              </w:rPr>
              <w:t>4</w:t>
            </w:r>
          </w:hyperlink>
        </w:p>
        <w:p>
          <w:pPr>
            <w:pStyle w:val="Sumrio1"/>
            <w:rPr/>
          </w:pPr>
          <w:r>
            <w:rPr/>
            <w:t>2.  Fluxo de Eventos</w:t>
            <w:tab/>
          </w:r>
          <w:hyperlink w:anchor="__RefHeading___Toc18208177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2.1.  Fluxo Básico</w:t>
            <w:tab/>
          </w:r>
          <w:hyperlink w:anchor="__RefHeading___Toc18208178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2.2.  Fluxos Alternativos</w:t>
            <w:tab/>
          </w:r>
          <w:hyperlink w:anchor="__RefHeading___Toc1468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2.2.1.  FA01 – Excluir</w:t>
            <w:tab/>
          </w:r>
          <w:hyperlink w:anchor="__RefHeading___Toc1470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2.2.2.  FA02 -Consultar</w:t>
            <w:tab/>
          </w:r>
          <w:hyperlink w:anchor="__RefHeading___Toc1472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2.3.  Fluxo de Exeção .</w:t>
            <w:tab/>
          </w:r>
          <w:hyperlink w:anchor="__RefHeading___Toc182081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2.3.1.  FE01 – Cliente já Cadastrado.</w:t>
            <w:tab/>
          </w:r>
          <w:hyperlink w:anchor="__RefHeading___Toc1474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2.3.2.  FA02 -Cliente não encontrado</w:t>
            <w:tab/>
          </w:r>
          <w:hyperlink w:anchor="__RefHeading___Toc1476_1833033379">
            <w:r>
              <w:rPr>
                <w:rStyle w:val="Vnculodendice"/>
              </w:rPr>
              <w:t>5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2.3.3.  FA03 – Preecher todos os dados</w:t>
            <w:tab/>
          </w:r>
          <w:hyperlink w:anchor="__RefHeading___Toc1478_1833033379">
            <w:r>
              <w:rPr>
                <w:rStyle w:val="Vnculodendice"/>
              </w:rPr>
              <w:t>5</w:t>
            </w:r>
          </w:hyperlink>
        </w:p>
        <w:p>
          <w:pPr>
            <w:pStyle w:val="Sumrio1"/>
            <w:rPr/>
          </w:pPr>
          <w:r>
            <w:rPr/>
            <w:t>3.  Precondições</w:t>
            <w:tab/>
          </w:r>
          <w:hyperlink w:anchor="__RefHeading___Toc18208184">
            <w:r>
              <w:rPr>
                <w:rStyle w:val="Vnculodendice"/>
              </w:rPr>
              <w:t>5</w:t>
            </w:r>
          </w:hyperlink>
        </w:p>
        <w:p>
          <w:pPr>
            <w:pStyle w:val="Sumrio2"/>
            <w:rPr/>
          </w:pPr>
          <w:r>
            <w:rPr/>
            <w:t>3.1.  O Ator deve ter perfil de acesso Administrador ou Assistente</w:t>
            <w:tab/>
          </w:r>
          <w:hyperlink w:anchor="__RefHeading___Toc18208185">
            <w:r>
              <w:rPr>
                <w:rStyle w:val="Vnculodendice"/>
              </w:rPr>
              <w:t>5</w:t>
            </w:r>
          </w:hyperlink>
        </w:p>
        <w:p>
          <w:pPr>
            <w:pStyle w:val="Sumrio1"/>
            <w:rPr/>
          </w:pPr>
          <w:r>
            <w:rPr/>
            <w:t>4.  Pós-condições</w:t>
            <w:tab/>
          </w:r>
          <w:hyperlink w:anchor="__RefHeading___Toc18208186">
            <w:r>
              <w:rPr>
                <w:rStyle w:val="Vnculodendice"/>
              </w:rPr>
              <w:t>5</w:t>
            </w:r>
          </w:hyperlink>
        </w:p>
        <w:p>
          <w:pPr>
            <w:pStyle w:val="Sumrio2"/>
            <w:rPr/>
          </w:pPr>
          <w:r>
            <w:rPr/>
            <w:t>4.1.  Dados do cadastro de Clientes alterados</w:t>
            <w:tab/>
          </w:r>
          <w:hyperlink w:anchor="__RefHeading___Toc3054_1833033379">
            <w:r>
              <w:rPr>
                <w:rStyle w:val="Vnculodendice"/>
              </w:rPr>
              <w:t>5</w:t>
            </w:r>
          </w:hyperlink>
        </w:p>
        <w:p>
          <w:pPr>
            <w:pStyle w:val="Sumrio2"/>
            <w:rPr/>
          </w:pPr>
          <w:r>
            <w:rPr/>
            <w:t>4.2.  Numero de clientes alterados</w:t>
            <w:tab/>
          </w:r>
          <w:hyperlink w:anchor="__RefHeading___Toc18208187">
            <w:r>
              <w:rPr>
                <w:rStyle w:val="Vnculodendice"/>
              </w:rPr>
              <w:t>5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</w:r>
      <w:r>
        <w:br w:type="page"/>
      </w:r>
    </w:p>
    <w:p>
      <w:pPr>
        <w:pStyle w:val="Ttulo"/>
        <w:rPr/>
      </w:pPr>
      <w:r>
        <w:rPr>
          <w:rFonts w:eastAsia="Times New Roman;Britannic Bold" w:cs="Arial;Arial"/>
          <w:b/>
          <w:bCs/>
          <w:color w:val="auto"/>
          <w:sz w:val="36"/>
          <w:szCs w:val="36"/>
          <w:lang w:val="en-US" w:bidi="ar-SA"/>
        </w:rPr>
        <w:t xml:space="preserve">Especificação caso de uso: </w:t>
      </w:r>
      <w:r>
        <w:rPr>
          <w:rFonts w:eastAsia="Times New Roman;Britannic Bold" w:cs="Arial;Arial"/>
          <w:b/>
          <w:bCs/>
          <w:color w:val="auto"/>
          <w:sz w:val="36"/>
          <w:szCs w:val="36"/>
          <w:lang w:val="en-US" w:bidi="ar-SA"/>
        </w:rPr>
        <w:t xml:space="preserve">Inventário 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Ttulo1"/>
        <w:ind w:left="1080" w:right="0" w:hanging="360"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bookmarkStart w:id="0" w:name="__RefHeading___Toc1464_1833033379"/>
      <w:bookmarkEnd w:id="0"/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>Gestão de Clientes</w:t>
      </w: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 xml:space="preserve"> </w:t>
      </w:r>
    </w:p>
    <w:p>
      <w:pPr>
        <w:pStyle w:val="Ttulo2"/>
        <w:rPr>
          <w:lang w:val="pt-BR"/>
        </w:rPr>
      </w:pPr>
      <w:bookmarkStart w:id="1" w:name="__RefHeading___Toc18208176"/>
      <w:bookmarkEnd w:id="1"/>
      <w:r>
        <w:rPr>
          <w:lang w:val="pt-BR"/>
        </w:rPr>
        <w:t>Breve Descrição</w:t>
      </w:r>
    </w:p>
    <w:p>
      <w:pPr>
        <w:pStyle w:val="InfoBlue"/>
        <w:rPr>
          <w:color w:val="auto"/>
        </w:rPr>
      </w:pPr>
      <w:r>
        <w:rPr>
          <w:color w:val="auto"/>
          <w:lang w:val="pt-BR"/>
        </w:rPr>
        <w:t xml:space="preserve">Este caso de uso tem a função  de </w:t>
      </w:r>
      <w:r>
        <w:rPr>
          <w:rFonts w:eastAsia="Times New Roman;Britannic Bold" w:cs="Times New Roman;Britannic Bold"/>
          <w:i/>
          <w:iCs/>
          <w:color w:val="auto"/>
          <w:sz w:val="20"/>
          <w:szCs w:val="20"/>
          <w:lang w:val="pt-BR" w:bidi="ar-SA"/>
        </w:rPr>
        <w:t xml:space="preserve">criar um relatório de inventario </w:t>
      </w:r>
    </w:p>
    <w:p>
      <w:pPr>
        <w:pStyle w:val="Ttulo1"/>
        <w:widowControl/>
        <w:ind w:left="1080" w:right="0" w:hanging="360"/>
        <w:rPr>
          <w:lang w:val="pt-BR"/>
        </w:rPr>
      </w:pPr>
      <w:bookmarkStart w:id="2" w:name="__RefHeading___Toc18208177"/>
      <w:bookmarkEnd w:id="2"/>
      <w:r>
        <w:rPr>
          <w:lang w:val="pt-BR"/>
        </w:rPr>
        <w:t>Fluxo de Eventos</w:t>
      </w:r>
    </w:p>
    <w:p>
      <w:pPr>
        <w:pStyle w:val="Ttulo2"/>
        <w:widowControl/>
        <w:rPr/>
      </w:pPr>
      <w:bookmarkStart w:id="3" w:name="__RefHeading___Toc18208178"/>
      <w:bookmarkEnd w:id="3"/>
      <w:r>
        <w:rPr>
          <w:lang w:val="pt-BR"/>
        </w:rPr>
        <w:t>Fluxo Básico</w:t>
      </w:r>
      <w:r>
        <w:rPr>
          <w:lang w:val="fr-FR"/>
        </w:rPr>
        <w:t xml:space="preserve"> </w:t>
      </w:r>
      <w:r>
        <w:rPr>
          <w:lang w:val="fr-FR"/>
        </w:rPr>
        <w:t xml:space="preserve"> </w:t>
      </w:r>
    </w:p>
    <w:p>
      <w:pPr>
        <w:pStyle w:val="InfoBlue"/>
        <w:numPr>
          <w:ilvl w:val="0"/>
          <w:numId w:val="4"/>
        </w:numPr>
        <w:ind w:left="0" w:right="0" w:hanging="0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pt-BR"/>
        </w:rPr>
        <w:t xml:space="preserve">Ator Solicita Tela </w:t>
      </w:r>
      <w:r>
        <w:rPr>
          <w:i w:val="false"/>
          <w:iCs w:val="false"/>
          <w:color w:val="auto"/>
          <w:lang w:val="pt-BR"/>
        </w:rPr>
        <w:t>do inventario</w:t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O ator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entra com o codigo ou nome do produto,</w:t>
      </w:r>
    </w:p>
    <w:p>
      <w:pPr>
        <w:pStyle w:val="Normal"/>
        <w:widowControl/>
        <w:numPr>
          <w:ilvl w:val="0"/>
          <w:numId w:val="4"/>
        </w:numPr>
        <w:ind w:left="0" w:right="0" w:hanging="0"/>
        <w:rPr>
          <w:i w:val="false"/>
          <w:i w:val="false"/>
          <w:iCs w:val="false"/>
          <w:color w:val="auto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Sistema obtém 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produto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 no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Banco de dados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 de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estoque</w:t>
      </w:r>
    </w:p>
    <w:p>
      <w:pPr>
        <w:pStyle w:val="Normal"/>
        <w:widowControl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fr-F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</w:r>
    </w:p>
    <w:p>
      <w:pPr>
        <w:pStyle w:val="Normal"/>
        <w:widowControl/>
        <w:numPr>
          <w:ilvl w:val="0"/>
          <w:numId w:val="4"/>
        </w:numPr>
        <w:ind w:left="0" w:right="0" w:hanging="0"/>
        <w:rPr>
          <w:i w:val="false"/>
          <w:i w:val="false"/>
          <w:iCs w:val="false"/>
          <w:color w:val="auto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Sistema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compara o mes atual com o mes anterior do produto.</w:t>
      </w:r>
    </w:p>
    <w:p>
      <w:pPr>
        <w:pStyle w:val="Normal"/>
        <w:widowControl/>
        <w:numPr>
          <w:ilvl w:val="0"/>
          <w:numId w:val="0"/>
        </w:numPr>
        <w:ind w:left="147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fr-F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</w:r>
    </w:p>
    <w:p>
      <w:pPr>
        <w:pStyle w:val="Normal"/>
        <w:widowControl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fr-F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Sistema gera o relatorio e exibe na tela </w:t>
      </w:r>
    </w:p>
    <w:p>
      <w:pPr>
        <w:pStyle w:val="Normal"/>
        <w:widowControl/>
        <w:numPr>
          <w:ilvl w:val="0"/>
          <w:numId w:val="0"/>
        </w:numPr>
        <w:ind w:left="147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fr-F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O ator comfirma, termina a interação.</w:t>
      </w:r>
    </w:p>
    <w:p>
      <w:pPr>
        <w:pStyle w:val="Corpodotexto"/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</w:r>
    </w:p>
    <w:p>
      <w:pPr>
        <w:pStyle w:val="InfoBlue"/>
        <w:numPr>
          <w:ilvl w:val="0"/>
          <w:numId w:val="0"/>
        </w:numPr>
        <w:ind w:left="2190" w:right="0" w:hanging="0"/>
        <w:rPr>
          <w:lang w:val="pt-BR"/>
        </w:rPr>
      </w:pPr>
      <w:r>
        <w:rPr>
          <w:lang w:val="pt-BR"/>
        </w:rPr>
      </w:r>
    </w:p>
    <w:p>
      <w:pPr>
        <w:pStyle w:val="InfoBlue"/>
        <w:ind w:left="0" w:right="0" w:hanging="0"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Ttulo2"/>
        <w:widowControl/>
        <w:rPr>
          <w:lang w:val="pt-BR"/>
        </w:rPr>
      </w:pPr>
      <w:bookmarkStart w:id="4" w:name="__RefHeading___Toc18208179"/>
      <w:bookmarkEnd w:id="4"/>
      <w:r>
        <w:rPr>
          <w:lang w:val="pt-BR"/>
        </w:rPr>
        <w:t xml:space="preserve">Fluxo </w:t>
      </w:r>
      <w:r>
        <w:rPr>
          <w:lang w:val="pt-BR"/>
        </w:rPr>
        <w:t xml:space="preserve">de </w:t>
      </w:r>
      <w:r>
        <w:rPr>
          <w:lang w:val="pt-BR"/>
        </w:rPr>
        <w:t xml:space="preserve"> </w:t>
      </w: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>Exeção .</w:t>
      </w:r>
    </w:p>
    <w:p>
      <w:pPr>
        <w:pStyle w:val="Normal"/>
        <w:widowControl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r>
        <w:rPr>
          <w:rFonts w:eastAsia="Times New Roman;Britannic Bold" w:cs="Arial;Arial" w:ascii="Arial;Arial" w:hAnsi="Arial;Arial"/>
          <w:b/>
          <w:bCs/>
          <w:color w:val="auto"/>
          <w:sz w:val="20"/>
          <w:szCs w:val="20"/>
          <w:lang w:val="pt-BR" w:bidi="ar-SA"/>
        </w:rPr>
      </w:r>
    </w:p>
    <w:p>
      <w:pPr>
        <w:pStyle w:val="Normal"/>
        <w:widowControl/>
        <w:rPr>
          <w:lang w:val="fr-FR"/>
        </w:rPr>
      </w:pPr>
      <w:r>
        <w:rPr>
          <w:lang w:val="fr-FR"/>
        </w:rPr>
      </w:r>
    </w:p>
    <w:p>
      <w:pPr>
        <w:pStyle w:val="Ttulo3"/>
        <w:widowControl/>
        <w:rPr>
          <w:lang w:val="pt-BR"/>
        </w:rPr>
      </w:pPr>
      <w:bookmarkStart w:id="5" w:name="__RefHeading___Toc1474_1833033379"/>
      <w:bookmarkEnd w:id="5"/>
      <w:r>
        <w:rPr>
          <w:lang w:val="pt-BR"/>
        </w:rPr>
        <w:t>F</w:t>
      </w:r>
      <w:r>
        <w:rPr>
          <w:lang w:val="pt-BR"/>
        </w:rPr>
        <w:t>E</w:t>
      </w:r>
      <w:r>
        <w:rPr>
          <w:lang w:val="pt-BR"/>
        </w:rPr>
        <w:t xml:space="preserve">01 – 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>Produto não encontrado</w:t>
      </w:r>
    </w:p>
    <w:p>
      <w:pPr>
        <w:pStyle w:val="InfoBlue"/>
        <w:ind w:left="0" w:right="0" w:hanging="0"/>
        <w:rPr/>
      </w:pPr>
      <w:r>
        <w:rPr>
          <w:i w:val="false"/>
          <w:iCs w:val="false"/>
          <w:color w:val="auto"/>
          <w:lang w:val="pt-BR"/>
        </w:rPr>
        <w:t xml:space="preserve">              </w:t>
      </w:r>
      <w:r>
        <w:rPr>
          <w:i w:val="false"/>
          <w:iCs w:val="false"/>
          <w:color w:val="auto"/>
          <w:lang w:val="pt-BR"/>
        </w:rPr>
        <w:t>F</w:t>
      </w:r>
      <w:r>
        <w:rPr>
          <w:i w:val="false"/>
          <w:iCs w:val="false"/>
          <w:color w:val="auto"/>
          <w:lang w:val="pt-BR"/>
        </w:rPr>
        <w:t>E</w:t>
      </w:r>
      <w:r>
        <w:rPr>
          <w:i w:val="false"/>
          <w:iCs w:val="false"/>
          <w:color w:val="auto"/>
          <w:lang w:val="pt-BR"/>
        </w:rPr>
        <w:t>01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.1 </w:t>
      </w:r>
      <w:r>
        <w:rPr>
          <w:i w:val="false"/>
          <w:iCs w:val="false"/>
          <w:color w:val="auto"/>
          <w:lang w:val="pt-BR"/>
        </w:rPr>
        <w:t xml:space="preserve"> </w:t>
      </w:r>
      <w:r>
        <w:rPr>
          <w:i w:val="false"/>
          <w:iCs w:val="false"/>
          <w:color w:val="auto"/>
          <w:lang w:val="pt-BR"/>
        </w:rPr>
        <w:t>N</w:t>
      </w:r>
      <w:r>
        <w:rPr>
          <w:i w:val="false"/>
          <w:iCs w:val="false"/>
          <w:color w:val="auto"/>
          <w:lang w:val="pt-BR"/>
        </w:rPr>
        <w:t xml:space="preserve">o passo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II</w:t>
      </w:r>
      <w:r>
        <w:rPr>
          <w:i w:val="false"/>
          <w:iCs w:val="false"/>
          <w:color w:val="auto"/>
          <w:lang w:val="pt-BR"/>
        </w:rPr>
        <w:t xml:space="preserve"> pode ocorrer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que o produto não esteja cadastrado.</w:t>
      </w:r>
    </w:p>
    <w:p>
      <w:pPr>
        <w:pStyle w:val="InfoBlue"/>
        <w:ind w:left="0" w:right="0" w:hanging="0"/>
        <w:rPr/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FE01.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2</w:t>
      </w:r>
      <w:r>
        <w:rPr>
          <w:i w:val="false"/>
          <w:iCs w:val="false"/>
          <w:color w:val="auto"/>
          <w:lang w:val="fr-FR"/>
        </w:rPr>
        <w:t xml:space="preserve">   </w:t>
      </w:r>
      <w:r>
        <w:rPr>
          <w:i w:val="false"/>
          <w:iCs w:val="false"/>
          <w:color w:val="auto"/>
          <w:lang w:val="fr-FR"/>
        </w:rPr>
        <w:t xml:space="preserve">O sistema emite uma mensagem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Produto não Cadastrado 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fr-FR"/>
        </w:rPr>
        <w:t xml:space="preserve">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FE01.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3</w:t>
      </w:r>
      <w:r>
        <w:rPr>
          <w:i w:val="false"/>
          <w:iCs w:val="false"/>
          <w:color w:val="auto"/>
          <w:lang w:val="fr-FR"/>
        </w:rPr>
        <w:t xml:space="preserve">   O ator confirma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que entendeu 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fr-FR"/>
        </w:rPr>
        <w:t xml:space="preserve">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FE01.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4</w:t>
      </w:r>
      <w:r>
        <w:rPr>
          <w:i w:val="false"/>
          <w:iCs w:val="false"/>
          <w:color w:val="auto"/>
          <w:lang w:val="fr-FR"/>
        </w:rPr>
        <w:t xml:space="preserve">   </w:t>
      </w:r>
      <w:r>
        <w:rPr>
          <w:i w:val="false"/>
          <w:iCs w:val="false"/>
          <w:color w:val="auto"/>
          <w:lang w:val="fr-FR"/>
        </w:rPr>
        <w:t>R</w:t>
      </w:r>
      <w:r>
        <w:rPr>
          <w:i w:val="false"/>
          <w:iCs w:val="false"/>
          <w:color w:val="auto"/>
          <w:lang w:val="fr-FR"/>
        </w:rPr>
        <w:t>etorna</w:t>
      </w:r>
      <w:r>
        <w:rPr>
          <w:i w:val="false"/>
          <w:iCs w:val="false"/>
          <w:color w:val="auto"/>
          <w:lang w:val="fr-FR"/>
        </w:rPr>
        <w:t>r</w:t>
      </w:r>
      <w:r>
        <w:rPr>
          <w:i w:val="false"/>
          <w:iCs w:val="false"/>
          <w:color w:val="auto"/>
          <w:lang w:val="fr-FR"/>
        </w:rPr>
        <w:t xml:space="preserve"> ao passo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I do fluxo basico</w:t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Normal"/>
        <w:widowControl/>
        <w:rPr/>
      </w:pPr>
      <w:r>
        <w:rPr/>
      </w:r>
    </w:p>
    <w:p>
      <w:pPr>
        <w:pStyle w:val="Ttulo1"/>
        <w:widowControl/>
        <w:ind w:left="1080" w:right="0" w:hanging="360"/>
        <w:rPr>
          <w:sz w:val="24"/>
          <w:szCs w:val="24"/>
          <w:lang w:val="pt-BR"/>
        </w:rPr>
      </w:pPr>
      <w:bookmarkStart w:id="6" w:name="__RefHeading___Toc18208184"/>
      <w:bookmarkEnd w:id="6"/>
      <w:r>
        <w:rPr>
          <w:sz w:val="24"/>
          <w:szCs w:val="24"/>
          <w:lang w:val="pt-BR"/>
        </w:rPr>
        <w:t>Precondições</w:t>
      </w:r>
    </w:p>
    <w:p>
      <w:pPr>
        <w:pStyle w:val="Ttulo2"/>
        <w:widowControl/>
        <w:rPr>
          <w:lang w:val="pt-BR"/>
        </w:rPr>
      </w:pPr>
      <w:bookmarkStart w:id="7" w:name="__RefHeading___Toc18208185"/>
      <w:bookmarkEnd w:id="7"/>
      <w:r>
        <w:rPr>
          <w:lang w:val="pt-BR"/>
        </w:rPr>
        <w:t>O A</w:t>
      </w:r>
      <w:r>
        <w:rPr>
          <w:lang w:val="pt-BR"/>
        </w:rPr>
        <w:t>t</w:t>
      </w:r>
      <w:r>
        <w:rPr>
          <w:lang w:val="pt-BR"/>
        </w:rPr>
        <w:t xml:space="preserve">or deve ter perfil de acesso </w:t>
      </w:r>
      <w:r>
        <w:rPr>
          <w:lang w:val="pt-BR"/>
        </w:rPr>
        <w:t xml:space="preserve">Administrador </w:t>
      </w:r>
    </w:p>
    <w:p>
      <w:pPr>
        <w:pStyle w:val="Ttulo1"/>
        <w:widowControl/>
        <w:ind w:left="1080" w:right="0" w:hanging="360"/>
        <w:rPr>
          <w:sz w:val="24"/>
          <w:szCs w:val="24"/>
          <w:lang w:val="pt-BR"/>
        </w:rPr>
      </w:pPr>
      <w:bookmarkStart w:id="8" w:name="__RefHeading___Toc18208186"/>
      <w:bookmarkEnd w:id="8"/>
      <w:r>
        <w:rPr>
          <w:sz w:val="24"/>
          <w:szCs w:val="24"/>
          <w:lang w:val="pt-BR"/>
        </w:rPr>
        <w:t>Pós-condições</w:t>
      </w:r>
    </w:p>
    <w:p>
      <w:pPr>
        <w:pStyle w:val="Ttulo2"/>
        <w:widowControl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bookmarkStart w:id="9" w:name="__RefHeading___Toc3054_1833033379"/>
      <w:bookmarkEnd w:id="9"/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>Cria um relatório de inventario</w:t>
      </w:r>
    </w:p>
    <w:p>
      <w:pPr>
        <w:pStyle w:val="Ttulo2"/>
        <w:widowControl/>
        <w:numPr>
          <w:ilvl w:val="0"/>
          <w:numId w:val="0"/>
        </w:numPr>
        <w:ind w:left="0" w:right="0" w:hanging="0"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</w:r>
      <w:bookmarkStart w:id="10" w:name="__RefHeading___Toc18208187"/>
      <w:bookmarkStart w:id="11" w:name="__RefHeading___Toc18208187"/>
      <w:bookmarkEnd w:id="11"/>
    </w:p>
    <w:p>
      <w:pPr>
        <w:pStyle w:val="Normal"/>
        <w:widowControl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r>
        <w:rPr>
          <w:rFonts w:eastAsia="Times New Roman;Britannic Bold" w:cs="Arial;Arial" w:ascii="Arial;Arial" w:hAnsi="Arial;Arial"/>
          <w:b/>
          <w:bCs/>
          <w:color w:val="auto"/>
          <w:sz w:val="20"/>
          <w:szCs w:val="20"/>
          <w:lang w:val="pt-BR" w:bidi="ar-SA"/>
        </w:rPr>
      </w:r>
    </w:p>
    <w:p>
      <w:pPr>
        <w:pStyle w:val="Ttulo1"/>
        <w:numPr>
          <w:ilvl w:val="0"/>
          <w:numId w:val="0"/>
        </w:numPr>
        <w:spacing w:before="120" w:after="60"/>
        <w:ind w:left="720" w:right="0" w:hanging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Britannic Bold"/>
    <w:charset w:val="01"/>
    <w:family w:val="roman"/>
    <w:pitch w:val="variable"/>
  </w:font>
  <w:font w:name="Arial">
    <w:charset w:val="01"/>
    <w:family w:val="swiss"/>
    <w:pitch w:val="variable"/>
  </w:font>
  <w:font w:name="Courier New">
    <w:altName w:val="Arial"/>
    <w:charset w:val="01"/>
    <w:family w:val="moder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/>
          </w:pPr>
          <w:r>
            <w:rPr>
              <w:rFonts w:ascii="Symbol" w:hAnsi="Symbol"/>
              <w:sz w:val="20"/>
            </w:rPr>
            <w:t>Ó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36"/>
        <w:szCs w:val="36"/>
      </w:rPr>
    </w:pPr>
    <w:r>
      <w:rPr>
        <w:rFonts w:cs="Arial;Arial" w:ascii="Arial;Arial" w:hAnsi="Arial;Arial"/>
        <w:b/>
        <w:bCs/>
        <w:sz w:val="36"/>
        <w:szCs w:val="36"/>
      </w:rPr>
      <w:t>TRABALHO FINAL E2</w:t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24"/>
        <w:szCs w:val="24"/>
      </w:rPr>
    </w:pPr>
    <w:r>
      <w:rPr>
        <w:rFonts w:cs="Arial;Arial" w:ascii="Arial;Arial" w:hAnsi="Arial;Arial"/>
        <w:b/>
        <w:bCs/>
        <w:sz w:val="24"/>
        <w:szCs w:val="24"/>
      </w:rPr>
    </w:r>
  </w:p>
  <w:p>
    <w:pPr>
      <w:pStyle w:val="Cabealho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2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4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Cabealho"/>
            <w:tabs>
              <w:tab w:val="clear" w:pos="4320"/>
              <w:tab w:val="clear" w:pos="8640"/>
            </w:tabs>
            <w:rPr>
              <w:rFonts w:ascii="Times New Roman;Britannic Bold" w:hAnsi="Times New Roman;Britannic Bold" w:eastAsia="Times New Roman;Britannic Bold" w:cs="Times New Roman;Britannic Bold"/>
              <w:color w:val="auto"/>
              <w:sz w:val="20"/>
              <w:szCs w:val="20"/>
              <w:lang w:val="en-US" w:bidi="ar-SA"/>
            </w:rPr>
          </w:pP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en-US" w:bidi="ar-SA"/>
            </w:rPr>
            <w:t>IziMec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ind w:left="0"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Versão:</w:t>
          </w:r>
          <w:r>
            <w:rPr/>
            <w:t xml:space="preserve">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rFonts w:ascii="Times New Roman;Britannic Bold" w:hAnsi="Times New Roman;Britannic Bold" w:eastAsia="Times New Roman;Britannic Bold" w:cs="Times New Roman;Britannic Bold"/>
              <w:color w:val="auto"/>
              <w:sz w:val="20"/>
              <w:szCs w:val="20"/>
              <w:lang w:val="en-US" w:bidi="ar-SA"/>
            </w:rPr>
          </w:pP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en-US" w:bidi="ar-SA"/>
            </w:rPr>
            <w:t>Inventario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>
              <w:lang w:val="pt-BR"/>
            </w:rPr>
            <w:t>Data:</w:t>
          </w:r>
          <w:r>
            <w:rPr/>
            <w:t xml:space="preserve">  </w:t>
          </w: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pt-BR" w:bidi="ar-SA"/>
            </w:rPr>
            <w:t>10/06/2021</w:t>
          </w:r>
        </w:p>
      </w:tc>
    </w:tr>
    <w:tr>
      <w:trPr>
        <w:trHeight w:val="285" w:hRule="atLeast"/>
      </w:trPr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rFonts w:ascii="Times New Roman;Britannic Bold" w:hAnsi="Times New Roman;Britannic Bold" w:eastAsia="Times New Roman;Britannic Bold" w:cs="Times New Roman;Britannic Bold"/>
              <w:color w:val="auto"/>
              <w:sz w:val="20"/>
              <w:szCs w:val="20"/>
              <w:lang w:val="pt-BR" w:bidi="ar-SA"/>
            </w:rPr>
          </w:pP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pt-BR" w:bidi="ar-SA"/>
            </w:rPr>
            <w:t>CS0</w:t>
          </w: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pt-BR" w:bidi="ar-SA"/>
            </w:rPr>
            <w:t>3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.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.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.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.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.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1470"/>
        </w:tabs>
        <w:ind w:left="1470" w:hanging="360"/>
      </w:pPr>
      <w:rPr/>
    </w:lvl>
    <w:lvl w:ilvl="1">
      <w:start w:val="1"/>
      <w:numFmt w:val="upperRoman"/>
      <w:lvlText w:val="%1.%2."/>
      <w:lvlJc w:val="left"/>
      <w:pPr>
        <w:tabs>
          <w:tab w:val="num" w:pos="1830"/>
        </w:tabs>
        <w:ind w:left="1830" w:hanging="360"/>
      </w:pPr>
      <w:rPr/>
    </w:lvl>
    <w:lvl w:ilvl="2">
      <w:start w:val="1"/>
      <w:numFmt w:val="decimal"/>
      <w:lvlText w:val="%3)"/>
      <w:lvlJc w:val="left"/>
      <w:pPr>
        <w:tabs>
          <w:tab w:val="num" w:pos="2190"/>
        </w:tabs>
        <w:ind w:left="2190" w:hanging="360"/>
      </w:pPr>
      <w:rPr/>
    </w:lvl>
    <w:lvl w:ilvl="3">
      <w:start w:val="1"/>
      <w:numFmt w:val="upperRoman"/>
      <w:lvlText w:val="%4."/>
      <w:lvlJc w:val="left"/>
      <w:pPr>
        <w:tabs>
          <w:tab w:val="num" w:pos="2550"/>
        </w:tabs>
        <w:ind w:left="2550" w:hanging="360"/>
      </w:pPr>
      <w:rPr/>
    </w:lvl>
    <w:lvl w:ilvl="4">
      <w:start w:val="1"/>
      <w:numFmt w:val="bullet"/>
      <w:lvlText w:val="◦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70"/>
        </w:tabs>
        <w:ind w:left="32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50"/>
        </w:tabs>
        <w:ind w:left="435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spacing w:lineRule="atLeast" w:line="240"/>
    </w:pPr>
    <w:rPr>
      <w:rFonts w:ascii="Times New Roman;Britannic Bold" w:hAnsi="Times New Roman;Britannic Bold" w:eastAsia="Times New Roman;Britannic Bold" w:cs="Times New Roman;Britannic Bold"/>
      <w:color w:val="auto"/>
      <w:sz w:val="20"/>
      <w:szCs w:val="20"/>
      <w:lang w:val="en-US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</w:tabs>
      <w:spacing w:before="120" w:after="60"/>
      <w:ind w:left="720" w:right="0" w:hanging="720"/>
      <w:outlineLvl w:val="0"/>
    </w:pPr>
    <w:rPr>
      <w:rFonts w:ascii="Arial;Arial" w:hAnsi="Arial;Arial" w:cs="Arial;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/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bCs w:val="false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clear" w:pos="720"/>
      </w:tabs>
      <w:spacing w:before="240" w:after="60"/>
      <w:ind w:left="2880" w:right="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clear" w:pos="720"/>
      </w:tabs>
      <w:spacing w:before="240" w:after="60"/>
      <w:ind w:left="2880" w:right="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clear" w:pos="720"/>
      </w:tabs>
      <w:spacing w:before="240" w:after="60"/>
      <w:ind w:left="2880" w:right="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clear" w:pos="720"/>
      </w:tabs>
      <w:spacing w:before="240" w:after="60"/>
      <w:ind w:left="2880" w:right="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clear" w:pos="720"/>
      </w:tabs>
      <w:spacing w:before="240" w:after="60"/>
      <w:ind w:left="2880" w:right="0" w:hanging="0"/>
      <w:outlineLvl w:val="8"/>
    </w:pPr>
    <w:rPr>
      <w:b/>
      <w:bCs/>
      <w:i/>
      <w:iCs/>
      <w:sz w:val="18"/>
      <w:szCs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Nmerodepgina">
    <w:name w:val="Número de página"/>
    <w:basedOn w:val="DefaultParagraphFont"/>
    <w:rPr/>
  </w:style>
  <w:style w:type="character" w:styleId="Caracteresdenotaderodap">
    <w:name w:val="Caracteres de nota de rodapé"/>
    <w:basedOn w:val="DefaultParagraphFont"/>
    <w:qFormat/>
    <w:rPr>
      <w:sz w:val="20"/>
      <w:szCs w:val="20"/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Tw4winNone">
    <w:name w:val="tw4winNone"/>
    <w:basedOn w:val="DefaultParagraphFont"/>
    <w:qFormat/>
    <w:rPr/>
  </w:style>
  <w:style w:type="character" w:styleId="Tw4winExternal">
    <w:name w:val="tw4winExternal"/>
    <w:basedOn w:val="DefaultParagraphFont"/>
    <w:qFormat/>
    <w:rPr>
      <w:rFonts w:ascii="Courier New;Arial" w:hAnsi="Courier New;Arial" w:cs="Courier New;Arial"/>
      <w:color w:val="808080"/>
      <w:lang w:val="pt-BR" w:eastAsia="pt-BR"/>
    </w:rPr>
  </w:style>
  <w:style w:type="character" w:styleId="Tw4winInternal">
    <w:name w:val="tw4winInternal"/>
    <w:basedOn w:val="DefaultParagraphFont"/>
    <w:qFormat/>
    <w:rPr>
      <w:rFonts w:ascii="Courier New;Arial" w:hAnsi="Courier New;Arial" w:cs="Courier New;Arial"/>
      <w:color w:val="FF0000"/>
      <w:lang w:val="pt-BR" w:eastAsia="pt-BR"/>
    </w:rPr>
  </w:style>
  <w:style w:type="character" w:styleId="Tw4winMark">
    <w:name w:val="tw4winMark"/>
    <w:qFormat/>
    <w:rPr>
      <w:rFonts w:ascii="Courier New;Arial" w:hAnsi="Courier New;Arial" w:cs="Courier New;Arial"/>
      <w:vanish/>
      <w:color w:val="800080"/>
      <w:sz w:val="24"/>
      <w:szCs w:val="24"/>
      <w:vertAlign w:val="subscript"/>
    </w:rPr>
  </w:style>
  <w:style w:type="character" w:styleId="Tw4winError">
    <w:name w:val="tw4winError"/>
    <w:qFormat/>
    <w:rPr>
      <w:rFonts w:ascii="Courier New;Arial" w:hAnsi="Courier New;Arial" w:cs="Courier New;Arial"/>
      <w:color w:val="00FF00"/>
      <w:sz w:val="40"/>
      <w:szCs w:val="40"/>
    </w:rPr>
  </w:style>
  <w:style w:type="character" w:styleId="Tw4winTerm">
    <w:name w:val="tw4winTerm"/>
    <w:qFormat/>
    <w:rPr>
      <w:color w:val="0000FF"/>
    </w:rPr>
  </w:style>
  <w:style w:type="character" w:styleId="Tw4winPopup">
    <w:name w:val="tw4winPopup"/>
    <w:qFormat/>
    <w:rPr>
      <w:rFonts w:ascii="Courier New;Arial" w:hAnsi="Courier New;Arial" w:cs="Courier New;Arial"/>
      <w:color w:val="008000"/>
      <w:lang w:val="pt-BR" w:eastAsia="pt-BR"/>
    </w:rPr>
  </w:style>
  <w:style w:type="character" w:styleId="Tw4winJump">
    <w:name w:val="tw4winJump"/>
    <w:qFormat/>
    <w:rPr>
      <w:rFonts w:ascii="Courier New;Arial" w:hAnsi="Courier New;Arial" w:cs="Courier New;Arial"/>
      <w:color w:val="008080"/>
      <w:lang w:val="pt-BR" w:eastAsia="pt-BR"/>
    </w:rPr>
  </w:style>
  <w:style w:type="character" w:styleId="DONOTTRANSLATE">
    <w:name w:val="DO_NOT_TRANSLATE"/>
    <w:qFormat/>
    <w:rPr>
      <w:rFonts w:ascii="Courier New;Arial" w:hAnsi="Courier New;Arial" w:cs="Courier New;Arial"/>
      <w:color w:val="800000"/>
      <w:lang w:val="pt-BR" w:eastAsia="pt-BR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otexto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otexto"/>
    <w:qFormat/>
    <w:pPr>
      <w:spacing w:before="0"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Sum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Sumrio4">
    <w:name w:val="TOC 4"/>
    <w:basedOn w:val="Normal"/>
    <w:next w:val="Normal"/>
    <w:pPr>
      <w:ind w:left="600" w:right="0" w:hanging="0"/>
    </w:pPr>
    <w:rPr/>
  </w:style>
  <w:style w:type="paragraph" w:styleId="Sumrio5">
    <w:name w:val="TOC 5"/>
    <w:basedOn w:val="Normal"/>
    <w:next w:val="Normal"/>
    <w:pPr>
      <w:ind w:left="800" w:right="0" w:hanging="0"/>
    </w:pPr>
    <w:rPr/>
  </w:style>
  <w:style w:type="paragraph" w:styleId="Sumrio6">
    <w:name w:val="TOC 6"/>
    <w:basedOn w:val="Normal"/>
    <w:next w:val="Normal"/>
    <w:pPr>
      <w:ind w:left="1000" w:right="0" w:hanging="0"/>
    </w:pPr>
    <w:rPr/>
  </w:style>
  <w:style w:type="paragraph" w:styleId="Sumrio7">
    <w:name w:val="TOC 7"/>
    <w:basedOn w:val="Normal"/>
    <w:next w:val="Normal"/>
    <w:pPr>
      <w:ind w:left="1200" w:right="0" w:hanging="0"/>
    </w:pPr>
    <w:rPr/>
  </w:style>
  <w:style w:type="paragraph" w:styleId="Sumrio8">
    <w:name w:val="TOC 8"/>
    <w:basedOn w:val="Normal"/>
    <w:next w:val="Normal"/>
    <w:pPr>
      <w:ind w:left="1400" w:right="0" w:hanging="0"/>
    </w:pPr>
    <w:rPr/>
  </w:style>
  <w:style w:type="paragraph" w:styleId="Sumrio9">
    <w:name w:val="TOC 9"/>
    <w:basedOn w:val="Normal"/>
    <w:next w:val="Normal"/>
    <w:pPr>
      <w:ind w:left="1600" w:right="0" w:hanging="0"/>
    </w:pPr>
    <w:rPr/>
  </w:style>
  <w:style w:type="paragraph" w:styleId="Bullet1">
    <w:name w:val="Bullet1"/>
    <w:basedOn w:val="Normal"/>
    <w:qFormat/>
    <w:pPr>
      <w:numPr>
        <w:ilvl w:val="0"/>
        <w:numId w:val="2"/>
      </w:numPr>
      <w:ind w:left="720" w:right="0" w:hanging="432"/>
    </w:pPr>
    <w:rPr/>
  </w:style>
  <w:style w:type="paragraph" w:styleId="Bullet2">
    <w:name w:val="Bullet2"/>
    <w:basedOn w:val="Normal"/>
    <w:qFormat/>
    <w:pPr>
      <w:numPr>
        <w:ilvl w:val="0"/>
        <w:numId w:val="3"/>
      </w:num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fill="000080" w:val="clear"/>
    </w:pPr>
    <w:rPr/>
  </w:style>
  <w:style w:type="paragraph" w:styleId="Notaderodap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right="0" w:hanging="360"/>
    </w:pPr>
    <w:rPr>
      <w:sz w:val="16"/>
      <w:szCs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Corpodotextorecuado">
    <w:name w:val="Body Text Indent"/>
    <w:basedOn w:val="Normal"/>
    <w:pPr>
      <w:ind w:left="720" w:right="0" w:hanging="0"/>
    </w:pPr>
    <w:rPr>
      <w:i/>
      <w:iCs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/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/>
  </w:style>
  <w:style w:type="paragraph" w:styleId="InfoBlue">
    <w:name w:val="InfoBlue"/>
    <w:basedOn w:val="Normal"/>
    <w:next w:val="Corpodotexto"/>
    <w:qFormat/>
    <w:pPr>
      <w:spacing w:before="0" w:after="120"/>
      <w:ind w:left="720" w:right="0" w:hanging="0"/>
    </w:pPr>
    <w:rPr>
      <w:i/>
      <w:iCs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LibreOffice/7.0.6.2$Linux_X86_64 LibreOffice_project/00$Build-2</Application>
  <AppVersion>15.0000</AppVersion>
  <Pages>5</Pages>
  <Words>280</Words>
  <Characters>1354</Characters>
  <CharactersWithSpaces>1666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2021-06-12T08:34:45Z</dcterms:created>
  <dc:creator/>
  <dc:description/>
  <dc:language>pt-BR</dc:language>
  <cp:lastModifiedBy/>
  <dcterms:modified xsi:type="dcterms:W3CDTF">2021-06-13T00:30:22Z</dcterms:modified>
  <cp:revision>11</cp:revision>
  <dc:subject>&lt;Nome do Projeto&gt;</dc:subject>
  <dc:title>Especificação de Caso de Uso: &lt;Nome do Caso de Uso&gt;</dc:title>
</cp:coreProperties>
</file>