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b/>
          <w:bCs/>
        </w:rPr>
      </w:pPr>
      <w:r>
        <w:rPr>
          <w:rFonts w:ascii="Times New Roman" w:hAnsi="Times New Roman"/>
          <w:b/>
          <w:bCs/>
        </w:rPr>
        <w:t>Methods</w:t>
      </w:r>
    </w:p>
    <w:p>
      <w:pPr>
        <w:pStyle w:val="Normal"/>
        <w:bidi w:val="0"/>
        <w:jc w:val="start"/>
        <w:rPr>
          <w:rFonts w:ascii="Times New Roman" w:hAnsi="Times New Roman"/>
          <w:b/>
          <w:bCs/>
        </w:rPr>
      </w:pPr>
      <w:r>
        <w:rPr>
          <w:rFonts w:ascii="Times New Roman" w:hAnsi="Times New Roman"/>
          <w:b/>
          <w:bCs/>
        </w:rPr>
      </w:r>
    </w:p>
    <w:p>
      <w:pPr>
        <w:pStyle w:val="Normal"/>
        <w:bidi w:val="0"/>
        <w:jc w:val="both"/>
        <w:rPr/>
      </w:pPr>
      <w:r>
        <w:rPr>
          <w:rFonts w:ascii="Times New Roman" w:hAnsi="Times New Roman"/>
          <w:b/>
          <w:bCs/>
        </w:rPr>
        <w:tab/>
      </w:r>
      <w:r>
        <w:rPr>
          <w:rFonts w:ascii="Times New Roman" w:hAnsi="Times New Roman"/>
          <w:b w:val="false"/>
          <w:bCs w:val="false"/>
        </w:rPr>
        <w:t xml:space="preserve">To measure if there was a true correlation between the treatment and the expression of proteins, it was fitted a linear regression </w:t>
      </w:r>
      <w:r>
        <w:rPr>
          <w:rFonts w:ascii="Times New Roman" w:hAnsi="Times New Roman"/>
          <w:b w:val="false"/>
          <w:bCs w:val="false"/>
          <w:i w:val="false"/>
          <w:caps w:val="false"/>
          <w:smallCaps w:val="false"/>
          <w:u w:val="none"/>
          <w:vertAlign w:val="superscript"/>
        </w:rPr>
        <w:t>1</w:t>
      </w:r>
      <w:r>
        <w:rPr>
          <w:rFonts w:ascii="Times New Roman" w:hAnsi="Times New Roman"/>
          <w:b w:val="false"/>
          <w:bCs w:val="false"/>
        </w:rPr>
        <w:t xml:space="preserve"> to the logarithmic value of the nanoparticle's concentration and the relative value of the protein's expression through western blot desnsitometry. The logarithmic was chosen due to the order of magnitude of the nanoparticle's concentrations tested. The R language</w:t>
      </w:r>
      <w:r>
        <w:rPr>
          <w:rFonts w:ascii="Times New Roman" w:hAnsi="Times New Roman"/>
          <w:b w:val="false"/>
          <w:bCs w:val="false"/>
          <w:vertAlign w:val="superscript"/>
        </w:rPr>
        <w:t xml:space="preserve"> 2</w:t>
      </w:r>
      <w:r>
        <w:rPr>
          <w:rFonts w:ascii="Times New Roman" w:hAnsi="Times New Roman"/>
          <w:b w:val="false"/>
          <w:bCs w:val="false"/>
          <w:position w:val="0"/>
          <w:sz w:val="24"/>
          <w:vertAlign w:val="baseline"/>
        </w:rPr>
        <w:t>, RStudio</w:t>
      </w:r>
      <w:r>
        <w:rPr>
          <w:rFonts w:ascii="Times New Roman" w:hAnsi="Times New Roman"/>
          <w:b w:val="false"/>
          <w:bCs w:val="false"/>
          <w:vertAlign w:val="superscript"/>
        </w:rPr>
        <w:t>3</w:t>
      </w:r>
      <w:r>
        <w:rPr>
          <w:rFonts w:ascii="Times New Roman" w:hAnsi="Times New Roman"/>
          <w:b w:val="false"/>
          <w:bCs w:val="false"/>
          <w:position w:val="0"/>
          <w:sz w:val="24"/>
          <w:vertAlign w:val="baseline"/>
        </w:rPr>
        <w:t xml:space="preserve"> and the ggplot2 package</w:t>
      </w:r>
      <w:r>
        <w:rPr>
          <w:rFonts w:ascii="Times New Roman" w:hAnsi="Times New Roman"/>
          <w:b w:val="false"/>
          <w:bCs w:val="false"/>
          <w:vertAlign w:val="superscript"/>
        </w:rPr>
        <w:t xml:space="preserve">4 </w:t>
      </w:r>
      <w:r>
        <w:rPr>
          <w:rFonts w:ascii="Times New Roman" w:hAnsi="Times New Roman"/>
          <w:b w:val="false"/>
          <w:bCs w:val="false"/>
          <w:position w:val="0"/>
          <w:sz w:val="24"/>
          <w:vertAlign w:val="baseline"/>
        </w:rPr>
        <w:t>were</w:t>
      </w:r>
      <w:r>
        <w:rPr>
          <w:rFonts w:ascii="Times New Roman" w:hAnsi="Times New Roman"/>
          <w:b w:val="false"/>
          <w:bCs w:val="false"/>
        </w:rPr>
        <w:t xml:space="preserve"> utilized to perform and analyze the regression.</w:t>
      </w:r>
    </w:p>
    <w:p>
      <w:pPr>
        <w:pStyle w:val="Normal"/>
        <w:bidi w:val="0"/>
        <w:jc w:val="start"/>
        <w:rPr>
          <w:rFonts w:ascii="Times New Roman" w:hAnsi="Times New Roman"/>
          <w:b w:val="false"/>
          <w:bCs w:val="false"/>
        </w:rPr>
      </w:pPr>
      <w:r>
        <w:rPr/>
      </w:r>
    </w:p>
    <w:p>
      <w:pPr>
        <w:pStyle w:val="Normal"/>
        <w:bidi w:val="0"/>
        <w:jc w:val="start"/>
        <w:rPr>
          <w:b/>
          <w:bCs/>
        </w:rPr>
      </w:pPr>
      <w:r>
        <w:rPr>
          <w:rFonts w:ascii="Times New Roman" w:hAnsi="Times New Roman"/>
          <w:b/>
          <w:bCs/>
        </w:rPr>
        <w:t>Results</w:t>
      </w:r>
    </w:p>
    <w:p>
      <w:pPr>
        <w:pStyle w:val="Normal"/>
        <w:bidi w:val="0"/>
        <w:jc w:val="start"/>
        <w:rPr>
          <w:rFonts w:ascii="Times New Roman" w:hAnsi="Times New Roman"/>
        </w:rPr>
      </w:pPr>
      <w:r>
        <w:rPr>
          <w:b/>
          <w:bCs/>
        </w:rPr>
      </w:r>
    </w:p>
    <w:p>
      <w:pPr>
        <w:pStyle w:val="Normal"/>
        <w:bidi w:val="0"/>
        <w:jc w:val="start"/>
        <w:rPr>
          <w:b/>
          <w:bCs/>
        </w:rPr>
      </w:pPr>
      <w:r>
        <w:rPr>
          <w:rFonts w:ascii="Times New Roman" w:hAnsi="Times New Roman"/>
          <w:b/>
          <w:bCs/>
        </w:rPr>
        <w:tab/>
      </w:r>
    </w:p>
    <w:tbl>
      <w:tblPr>
        <w:tblW w:w="5000" w:type="pct"/>
        <w:jc w:val="start"/>
        <w:tblInd w:w="0" w:type="dxa"/>
        <w:tblLayout w:type="fixed"/>
        <w:tblCellMar>
          <w:top w:w="0" w:type="dxa"/>
          <w:start w:w="0" w:type="dxa"/>
          <w:bottom w:w="0" w:type="dxa"/>
          <w:end w:w="0" w:type="dxa"/>
        </w:tblCellMar>
      </w:tblPr>
      <w:tblGrid>
        <w:gridCol w:w="1424"/>
        <w:gridCol w:w="1425"/>
        <w:gridCol w:w="1424"/>
        <w:gridCol w:w="1425"/>
        <w:gridCol w:w="1424"/>
        <w:gridCol w:w="1425"/>
        <w:gridCol w:w="1425"/>
      </w:tblGrid>
      <w:tr>
        <w:trPr/>
        <w:tc>
          <w:tcPr>
            <w:tcW w:w="1424" w:type="dxa"/>
            <w:tcBorders/>
          </w:tcPr>
          <w:p>
            <w:pPr>
              <w:pStyle w:val="Contedodatabela"/>
              <w:bidi w:val="0"/>
              <w:jc w:val="center"/>
              <w:rPr>
                <w:b/>
                <w:bCs/>
                <w:i w:val="false"/>
                <w:iCs w:val="false"/>
                <w:sz w:val="24"/>
                <w:szCs w:val="24"/>
              </w:rPr>
            </w:pPr>
            <w:r>
              <w:rPr>
                <w:bCs/>
                <w:iCs w:val="false"/>
                <w:szCs w:val="24"/>
              </w:rPr>
              <w:t>Cell</w:t>
            </w:r>
          </w:p>
        </w:tc>
        <w:tc>
          <w:tcPr>
            <w:tcW w:w="1425" w:type="dxa"/>
            <w:tcBorders/>
          </w:tcPr>
          <w:p>
            <w:pPr>
              <w:pStyle w:val="Contedodatabela"/>
              <w:bidi w:val="0"/>
              <w:jc w:val="center"/>
              <w:rPr>
                <w:b/>
                <w:bCs/>
                <w:i w:val="false"/>
                <w:iCs w:val="false"/>
                <w:sz w:val="24"/>
                <w:szCs w:val="24"/>
              </w:rPr>
            </w:pPr>
            <w:r>
              <w:rPr>
                <w:bCs/>
                <w:iCs w:val="false"/>
                <w:szCs w:val="24"/>
              </w:rPr>
              <w:t>Protein</w:t>
            </w:r>
          </w:p>
        </w:tc>
        <w:tc>
          <w:tcPr>
            <w:tcW w:w="1424" w:type="dxa"/>
            <w:tcBorders/>
          </w:tcPr>
          <w:p>
            <w:pPr>
              <w:pStyle w:val="Contedodatabela"/>
              <w:bidi w:val="0"/>
              <w:jc w:val="center"/>
              <w:rPr>
                <w:b/>
                <w:bCs/>
                <w:i w:val="false"/>
                <w:iCs w:val="false"/>
                <w:sz w:val="24"/>
                <w:szCs w:val="24"/>
              </w:rPr>
            </w:pPr>
            <w:r>
              <w:rPr>
                <w:bCs/>
                <w:iCs w:val="false"/>
                <w:szCs w:val="24"/>
              </w:rPr>
              <w:t>Estimate</w:t>
            </w:r>
          </w:p>
        </w:tc>
        <w:tc>
          <w:tcPr>
            <w:tcW w:w="1425" w:type="dxa"/>
            <w:tcBorders/>
          </w:tcPr>
          <w:p>
            <w:pPr>
              <w:pStyle w:val="Contedodatabela"/>
              <w:bidi w:val="0"/>
              <w:jc w:val="center"/>
              <w:rPr>
                <w:b/>
                <w:bCs/>
                <w:i w:val="false"/>
                <w:iCs w:val="false"/>
                <w:sz w:val="24"/>
                <w:szCs w:val="24"/>
              </w:rPr>
            </w:pPr>
            <w:r>
              <w:rPr>
                <w:bCs/>
                <w:iCs w:val="false"/>
                <w:szCs w:val="24"/>
              </w:rPr>
              <w:t>Std. Error</w:t>
            </w:r>
          </w:p>
        </w:tc>
        <w:tc>
          <w:tcPr>
            <w:tcW w:w="1424" w:type="dxa"/>
            <w:tcBorders/>
          </w:tcPr>
          <w:p>
            <w:pPr>
              <w:pStyle w:val="Contedodatabela"/>
              <w:bidi w:val="0"/>
              <w:jc w:val="center"/>
              <w:rPr>
                <w:b/>
                <w:bCs/>
                <w:i w:val="false"/>
                <w:iCs w:val="false"/>
                <w:sz w:val="24"/>
                <w:szCs w:val="24"/>
              </w:rPr>
            </w:pPr>
            <w:r>
              <w:rPr>
                <w:bCs/>
                <w:iCs w:val="false"/>
                <w:szCs w:val="24"/>
              </w:rPr>
              <w:t>t value</w:t>
            </w:r>
          </w:p>
        </w:tc>
        <w:tc>
          <w:tcPr>
            <w:tcW w:w="1425" w:type="dxa"/>
            <w:tcBorders/>
          </w:tcPr>
          <w:p>
            <w:pPr>
              <w:pStyle w:val="Contedodatabela"/>
              <w:bidi w:val="0"/>
              <w:jc w:val="center"/>
              <w:rPr>
                <w:b/>
                <w:bCs/>
                <w:i w:val="false"/>
                <w:iCs w:val="false"/>
                <w:sz w:val="24"/>
                <w:szCs w:val="24"/>
              </w:rPr>
            </w:pPr>
            <w:r>
              <w:rPr>
                <w:bCs/>
                <w:iCs w:val="false"/>
                <w:szCs w:val="24"/>
              </w:rPr>
              <w:t>Pr( &gt; | t | )</w:t>
            </w:r>
          </w:p>
        </w:tc>
        <w:tc>
          <w:tcPr>
            <w:tcW w:w="1425" w:type="dxa"/>
            <w:tcBorders/>
          </w:tcPr>
          <w:p>
            <w:pPr>
              <w:pStyle w:val="Contedodatabela"/>
              <w:bidi w:val="0"/>
              <w:jc w:val="center"/>
              <w:rPr>
                <w:b/>
                <w:bCs/>
                <w:i w:val="false"/>
                <w:iCs w:val="false"/>
                <w:sz w:val="24"/>
                <w:szCs w:val="24"/>
              </w:rPr>
            </w:pPr>
            <w:r>
              <w:rPr>
                <w:bCs/>
                <w:iCs w:val="false"/>
                <w:szCs w:val="24"/>
              </w:rPr>
              <w:t>Adj R</w:t>
            </w:r>
            <w:r>
              <w:rPr>
                <w:bCs/>
                <w:iCs w:val="false"/>
                <w:szCs w:val="24"/>
                <w:vertAlign w:val="superscript"/>
              </w:rPr>
              <w:t>2</w:t>
            </w:r>
          </w:p>
        </w:tc>
      </w:tr>
      <w:tr>
        <w:trPr/>
        <w:tc>
          <w:tcPr>
            <w:tcW w:w="1424" w:type="dxa"/>
            <w:tcBorders/>
          </w:tcPr>
          <w:p>
            <w:pPr>
              <w:pStyle w:val="Contedodatabela"/>
              <w:bidi w:val="0"/>
              <w:jc w:val="center"/>
              <w:rPr>
                <w:b w:val="false"/>
                <w:bCs w:val="false"/>
                <w:i w:val="false"/>
                <w:iCs w:val="false"/>
                <w:sz w:val="24"/>
                <w:szCs w:val="24"/>
              </w:rPr>
            </w:pPr>
            <w:r>
              <w:rPr>
                <w:bCs w:val="false"/>
                <w:iCs w:val="false"/>
                <w:szCs w:val="24"/>
              </w:rPr>
              <w:t>HTR8</w:t>
            </w:r>
          </w:p>
        </w:tc>
        <w:tc>
          <w:tcPr>
            <w:tcW w:w="1425" w:type="dxa"/>
            <w:tcBorders/>
          </w:tcPr>
          <w:p>
            <w:pPr>
              <w:pStyle w:val="Contedodatabela"/>
              <w:bidi w:val="0"/>
              <w:jc w:val="center"/>
              <w:rPr>
                <w:b w:val="false"/>
                <w:bCs w:val="false"/>
                <w:i w:val="false"/>
                <w:iCs w:val="false"/>
                <w:sz w:val="24"/>
                <w:szCs w:val="24"/>
              </w:rPr>
            </w:pPr>
            <w:r>
              <w:rPr>
                <w:bCs w:val="false"/>
                <w:iCs w:val="false"/>
                <w:szCs w:val="24"/>
              </w:rPr>
              <w:t>Endoglin</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-0.064306</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0.008398</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-7.657</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0.0827</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0.9665</w:t>
            </w:r>
          </w:p>
        </w:tc>
      </w:tr>
      <w:tr>
        <w:trPr/>
        <w:tc>
          <w:tcPr>
            <w:tcW w:w="1424" w:type="dxa"/>
            <w:tcBorders/>
          </w:tcPr>
          <w:p>
            <w:pPr>
              <w:pStyle w:val="Contedodatabela"/>
              <w:bidi w:val="0"/>
              <w:jc w:val="center"/>
              <w:rPr>
                <w:b w:val="false"/>
                <w:bCs w:val="false"/>
                <w:i w:val="false"/>
                <w:iCs w:val="false"/>
                <w:sz w:val="24"/>
                <w:szCs w:val="24"/>
              </w:rPr>
            </w:pPr>
            <w:r>
              <w:rPr>
                <w:bCs w:val="false"/>
                <w:iCs w:val="false"/>
                <w:szCs w:val="24"/>
              </w:rPr>
              <w:t>HTR8</w:t>
            </w:r>
          </w:p>
        </w:tc>
        <w:tc>
          <w:tcPr>
            <w:tcW w:w="1425" w:type="dxa"/>
            <w:tcBorders/>
          </w:tcPr>
          <w:p>
            <w:pPr>
              <w:pStyle w:val="Contedodatabela"/>
              <w:bidi w:val="0"/>
              <w:jc w:val="center"/>
              <w:rPr>
                <w:b w:val="false"/>
                <w:bCs w:val="false"/>
                <w:i w:val="false"/>
                <w:iCs w:val="false"/>
                <w:sz w:val="24"/>
                <w:szCs w:val="24"/>
              </w:rPr>
            </w:pPr>
            <w:r>
              <w:rPr>
                <w:bCs w:val="false"/>
                <w:iCs w:val="false"/>
                <w:szCs w:val="24"/>
              </w:rPr>
              <w:t>PIGF</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0.01687</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0.01178</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1.433</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0.3880</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0.3447</w:t>
            </w:r>
          </w:p>
        </w:tc>
      </w:tr>
      <w:tr>
        <w:trPr/>
        <w:tc>
          <w:tcPr>
            <w:tcW w:w="1424" w:type="dxa"/>
            <w:tcBorders/>
          </w:tcPr>
          <w:p>
            <w:pPr>
              <w:pStyle w:val="Contedodatabela"/>
              <w:bidi w:val="0"/>
              <w:jc w:val="center"/>
              <w:rPr>
                <w:b w:val="false"/>
                <w:bCs w:val="false"/>
                <w:i w:val="false"/>
                <w:iCs w:val="false"/>
                <w:sz w:val="24"/>
                <w:szCs w:val="24"/>
              </w:rPr>
            </w:pPr>
            <w:r>
              <w:rPr>
                <w:bCs w:val="false"/>
                <w:iCs w:val="false"/>
                <w:szCs w:val="24"/>
              </w:rPr>
              <w:t>BeWo</w:t>
            </w:r>
          </w:p>
        </w:tc>
        <w:tc>
          <w:tcPr>
            <w:tcW w:w="1425" w:type="dxa"/>
            <w:tcBorders/>
          </w:tcPr>
          <w:p>
            <w:pPr>
              <w:pStyle w:val="Contedodatabela"/>
              <w:bidi w:val="0"/>
              <w:jc w:val="center"/>
              <w:rPr>
                <w:b w:val="false"/>
                <w:bCs w:val="false"/>
                <w:i w:val="false"/>
                <w:iCs w:val="false"/>
                <w:sz w:val="24"/>
                <w:szCs w:val="24"/>
              </w:rPr>
            </w:pPr>
            <w:r>
              <w:rPr>
                <w:bCs w:val="false"/>
                <w:iCs w:val="false"/>
                <w:szCs w:val="24"/>
              </w:rPr>
              <w:t>Endoglin</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0.248485</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0.006459</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38.47</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
                <w:bCs/>
                <w:iCs w:val="false"/>
                <w:szCs w:val="24"/>
              </w:rPr>
              <w:t>0.01655*</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0.9986</w:t>
            </w:r>
          </w:p>
        </w:tc>
      </w:tr>
      <w:tr>
        <w:trPr/>
        <w:tc>
          <w:tcPr>
            <w:tcW w:w="1424" w:type="dxa"/>
            <w:tcBorders/>
          </w:tcPr>
          <w:p>
            <w:pPr>
              <w:pStyle w:val="Contedodatabela"/>
              <w:bidi w:val="0"/>
              <w:jc w:val="center"/>
              <w:rPr>
                <w:b w:val="false"/>
                <w:bCs w:val="false"/>
                <w:i w:val="false"/>
                <w:iCs w:val="false"/>
                <w:sz w:val="24"/>
                <w:szCs w:val="24"/>
              </w:rPr>
            </w:pPr>
            <w:r>
              <w:rPr>
                <w:bCs w:val="false"/>
                <w:iCs w:val="false"/>
                <w:szCs w:val="24"/>
              </w:rPr>
              <w:t>BeWo</w:t>
            </w:r>
          </w:p>
        </w:tc>
        <w:tc>
          <w:tcPr>
            <w:tcW w:w="1425" w:type="dxa"/>
            <w:tcBorders/>
          </w:tcPr>
          <w:p>
            <w:pPr>
              <w:pStyle w:val="Contedodatabela"/>
              <w:bidi w:val="0"/>
              <w:jc w:val="center"/>
              <w:rPr>
                <w:b w:val="false"/>
                <w:bCs w:val="false"/>
                <w:i w:val="false"/>
                <w:iCs w:val="false"/>
                <w:sz w:val="24"/>
                <w:szCs w:val="24"/>
              </w:rPr>
            </w:pPr>
            <w:r>
              <w:rPr>
                <w:bCs w:val="false"/>
                <w:iCs w:val="false"/>
                <w:szCs w:val="24"/>
              </w:rPr>
              <w:t>PIGF</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-0.02756</w:t>
            </w:r>
          </w:p>
        </w:tc>
        <w:tc>
          <w:tcPr>
            <w:tcW w:w="1425"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0.05899</w:t>
            </w:r>
          </w:p>
        </w:tc>
        <w:tc>
          <w:tcPr>
            <w:tcW w:w="1424" w:type="dxa"/>
            <w:tcBorders/>
          </w:tcPr>
          <w:p>
            <w:pPr>
              <w:pStyle w:val="Contedodatabela"/>
              <w:bidi w:val="0"/>
              <w:jc w:val="center"/>
              <w:rPr>
                <w:b w:val="false"/>
                <w:bCs w:val="false"/>
                <w:i w:val="false"/>
                <w:iCs w:val="false"/>
                <w:sz w:val="24"/>
                <w:szCs w:val="24"/>
              </w:rPr>
            </w:pPr>
            <w:r>
              <w:rPr>
                <w:rStyle w:val="Cdigo-fonte"/>
                <w:rFonts w:ascii="Times New Roman" w:hAnsi="Times New Roman"/>
                <w:bCs w:val="false"/>
                <w:iCs w:val="false"/>
                <w:szCs w:val="24"/>
              </w:rPr>
              <w:t>-0.467</w:t>
            </w:r>
          </w:p>
        </w:tc>
        <w:tc>
          <w:tcPr>
            <w:tcW w:w="1425" w:type="dxa"/>
            <w:tcBorders/>
          </w:tcPr>
          <w:p>
            <w:pPr>
              <w:pStyle w:val="Contedodatabela"/>
              <w:bidi w:val="0"/>
              <w:jc w:val="center"/>
              <w:rPr>
                <w:rFonts w:ascii="Times New Roman" w:hAnsi="Times New Roman"/>
                <w:b w:val="false"/>
                <w:bCs w:val="false"/>
                <w:i w:val="false"/>
                <w:iCs w:val="false"/>
                <w:sz w:val="24"/>
                <w:szCs w:val="24"/>
              </w:rPr>
            </w:pPr>
            <w:r>
              <w:rPr>
                <w:rFonts w:ascii="Times New Roman" w:hAnsi="Times New Roman"/>
                <w:bCs w:val="false"/>
                <w:iCs w:val="false"/>
                <w:szCs w:val="24"/>
              </w:rPr>
              <w:t>0.7217</w:t>
            </w:r>
          </w:p>
        </w:tc>
        <w:tc>
          <w:tcPr>
            <w:tcW w:w="1425" w:type="dxa"/>
            <w:tcBorders/>
          </w:tcPr>
          <w:p>
            <w:pPr>
              <w:pStyle w:val="Contedodatabela"/>
              <w:bidi w:val="0"/>
              <w:jc w:val="center"/>
              <w:rPr>
                <w:rFonts w:ascii="Times New Roman" w:hAnsi="Times New Roman"/>
                <w:b w:val="false"/>
                <w:bCs w:val="false"/>
                <w:i w:val="false"/>
                <w:iCs w:val="false"/>
                <w:sz w:val="24"/>
                <w:szCs w:val="24"/>
              </w:rPr>
            </w:pPr>
            <w:r>
              <w:rPr>
                <w:rFonts w:ascii="Times New Roman" w:hAnsi="Times New Roman"/>
                <w:bCs w:val="false"/>
                <w:iCs w:val="false"/>
                <w:szCs w:val="24"/>
              </w:rPr>
              <w:t>-0.6416</w:t>
            </w:r>
          </w:p>
        </w:tc>
      </w:tr>
    </w:tbl>
    <w:p>
      <w:pPr>
        <w:pStyle w:val="Normal"/>
        <w:bidi w:val="0"/>
        <w:jc w:val="start"/>
        <w:rPr>
          <w:rFonts w:ascii="Times New Roman" w:hAnsi="Times New Roman"/>
        </w:rPr>
      </w:pPr>
      <w:r>
        <w:rPr>
          <w:b/>
          <w:bCs/>
        </w:rPr>
      </w:r>
    </w:p>
    <w:p>
      <w:pPr>
        <w:pStyle w:val="Normal"/>
        <w:bidi w:val="0"/>
        <w:jc w:val="start"/>
        <w:rPr>
          <w:b w:val="false"/>
          <w:bCs w:val="false"/>
        </w:rPr>
      </w:pPr>
      <w:r>
        <w:rPr>
          <w:rFonts w:ascii="Times New Roman" w:hAnsi="Times New Roman"/>
          <w:b/>
          <w:bCs/>
        </w:rPr>
      </w:r>
    </w:p>
    <w:p>
      <w:pPr>
        <w:pStyle w:val="Normal"/>
        <w:bidi w:val="0"/>
        <w:jc w:val="start"/>
        <w:rPr>
          <w:rFonts w:ascii="Times New Roman" w:hAnsi="Times New Roman"/>
          <w:b/>
          <w:bCs/>
        </w:rPr>
      </w:pPr>
      <w:r>
        <w:rPr>
          <w:rFonts w:ascii="Times New Roman" w:hAnsi="Times New Roman"/>
          <w:b/>
          <w:bCs/>
        </w:rPr>
        <w:t>References</w:t>
      </w:r>
    </w:p>
    <w:p>
      <w:pPr>
        <w:pStyle w:val="Normal"/>
        <w:bidi w:val="0"/>
        <w:jc w:val="start"/>
        <w:rPr>
          <w:rFonts w:ascii="Times New Roman" w:hAnsi="Times New Roman"/>
          <w:b w:val="false"/>
          <w:bCs w:val="false"/>
        </w:rPr>
      </w:pPr>
      <w:r>
        <w:rPr/>
      </w:r>
    </w:p>
    <w:p>
      <w:pPr>
        <w:pStyle w:val="Bibliografia1"/>
        <w:bidi w:val="0"/>
        <w:jc w:val="start"/>
        <w:rPr/>
      </w:pPr>
      <w:r>
        <w:rPr>
          <w:rFonts w:ascii="Times New Roman" w:hAnsi="Times New Roman"/>
          <w:b w:val="false"/>
          <w:bCs w:val="false"/>
        </w:rPr>
        <w:t>1.</w:t>
      </w:r>
      <w:r>
        <w:rPr/>
        <w:tab/>
        <w:t xml:space="preserve">James G, Witten D, Hastie T, Tibshirani R. Linear Regression. In: James G, Witten D, Hastie T, Tibshirani R, eds. </w:t>
      </w:r>
      <w:r>
        <w:rPr>
          <w:i/>
        </w:rPr>
        <w:t>An Introduction to Statistical Learning: With Applications in R</w:t>
      </w:r>
      <w:r>
        <w:rPr/>
        <w:t>. Springer US; 2021:59-128. doi:10.1007/978-1-0716-1418-1_3</w:t>
      </w:r>
      <w:r>
        <w:rPr>
          <w:rFonts w:ascii="Times New Roman" w:hAnsi="Times New Roman"/>
          <w:b w:val="false"/>
          <w:bCs w:val="false"/>
        </w:rPr>
        <w:t xml:space="preserve"> </w:t>
      </w:r>
    </w:p>
    <w:p>
      <w:pPr>
        <w:pStyle w:val="Bibliografia1"/>
        <w:bidi w:val="0"/>
        <w:jc w:val="start"/>
        <w:rPr/>
      </w:pPr>
      <w:r>
        <w:rPr>
          <w:rFonts w:ascii="Times New Roman" w:hAnsi="Times New Roman"/>
          <w:b w:val="false"/>
          <w:bCs w:val="false"/>
        </w:rPr>
        <w:t xml:space="preserve">2. R Core Team 2026. </w:t>
      </w:r>
      <w:r>
        <w:rPr>
          <w:rFonts w:ascii="Times New Roman" w:hAnsi="Times New Roman"/>
          <w:b w:val="false"/>
          <w:bCs w:val="false"/>
          <w:i/>
          <w:iCs/>
        </w:rPr>
        <w:t xml:space="preserve">R: A language and environment for statistical computing. </w:t>
      </w:r>
      <w:r>
        <w:rPr>
          <w:rFonts w:ascii="Times New Roman" w:hAnsi="Times New Roman"/>
          <w:b w:val="false"/>
          <w:bCs w:val="false"/>
          <w:i w:val="false"/>
          <w:iCs w:val="false"/>
        </w:rPr>
        <w:t>Vienna, Austria: R Foundation for Statiscal Computing. URL: https:/www.R-project.org/.</w:t>
      </w:r>
    </w:p>
    <w:p>
      <w:pPr>
        <w:pStyle w:val="Bibliografia1"/>
        <w:bidi w:val="0"/>
        <w:jc w:val="start"/>
        <w:rPr/>
      </w:pPr>
      <w:r>
        <w:rPr>
          <w:rFonts w:ascii="Times New Roman" w:hAnsi="Times New Roman"/>
          <w:b w:val="false"/>
          <w:bCs w:val="false"/>
          <w:i w:val="false"/>
          <w:iCs w:val="false"/>
        </w:rPr>
        <w:t xml:space="preserve">3. Posit team. (2026). </w:t>
      </w:r>
      <w:r>
        <w:rPr>
          <w:rFonts w:ascii="Times New Roman" w:hAnsi="Times New Roman"/>
          <w:b w:val="false"/>
          <w:bCs w:val="false"/>
          <w:i/>
          <w:iCs/>
        </w:rPr>
        <w:t xml:space="preserve">RStudio: Integrated Development Environment for R. </w:t>
      </w:r>
      <w:r>
        <w:rPr>
          <w:rFonts w:ascii="Times New Roman" w:hAnsi="Times New Roman"/>
          <w:b w:val="false"/>
          <w:bCs w:val="false"/>
          <w:i w:val="false"/>
          <w:iCs w:val="false"/>
        </w:rPr>
        <w:t>Posit Software, PBC. http://www.posit.co/</w:t>
      </w:r>
    </w:p>
    <w:p>
      <w:pPr>
        <w:pStyle w:val="Bibliografia1"/>
        <w:bidi w:val="0"/>
        <w:jc w:val="start"/>
        <w:rPr/>
      </w:pPr>
      <w:r>
        <w:rPr>
          <w:rFonts w:ascii="Times New Roman" w:hAnsi="Times New Roman"/>
          <w:b w:val="false"/>
          <w:bCs w:val="false"/>
          <w:i w:val="false"/>
          <w:iCs w:val="false"/>
        </w:rPr>
        <w:t>4</w:t>
      </w:r>
      <w:r>
        <w:rPr>
          <w:rFonts w:ascii="Times New Roman" w:hAnsi="Times New Roman"/>
          <w:b w:val="false"/>
          <w:bCs w:val="false"/>
          <w:i w:val="false"/>
          <w:iCs w:val="false"/>
        </w:rPr>
        <w:t xml:space="preserve">. Wickham, H. (2016). </w:t>
      </w:r>
      <w:r>
        <w:rPr>
          <w:rFonts w:ascii="Times New Roman" w:hAnsi="Times New Roman"/>
          <w:b w:val="false"/>
          <w:bCs w:val="false"/>
          <w:i/>
          <w:iCs/>
        </w:rPr>
        <w:t>ggplot2: Elegant Graphics for Data Analysis.</w:t>
      </w:r>
      <w:r>
        <w:rPr>
          <w:rFonts w:ascii="Times New Roman" w:hAnsi="Times New Roman"/>
          <w:b w:val="false"/>
          <w:bCs w:val="false"/>
          <w:i w:val="false"/>
          <w:iCs w:val="false"/>
        </w:rPr>
        <w:t>Springer-Verlag New York.</w:t>
      </w:r>
    </w:p>
    <w:p>
      <w:pPr>
        <w:pStyle w:val="Normal"/>
        <w:numPr>
          <w:ilvl w:val="0"/>
          <w:numId w:val="0"/>
        </w:numPr>
        <w:bidi w:val="0"/>
        <w:ind w:hanging="0" w:start="840"/>
        <w:jc w:val="start"/>
        <w:rPr>
          <w:rFonts w:ascii="Times New Roman" w:hAnsi="Times New Roman"/>
          <w:b w:val="false"/>
          <w:bCs w:val="false"/>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840"/>
        </w:tabs>
        <w:ind w:start="840" w:hanging="360"/>
      </w:pPr>
      <w:rPr/>
    </w:lvl>
    <w:lvl w:ilvl="1">
      <w:start w:val="1"/>
      <w:numFmt w:val="decimal"/>
      <w:lvlText w:val="%2."/>
      <w:lvlJc w:val="start"/>
      <w:pPr>
        <w:tabs>
          <w:tab w:val="num" w:pos="1200"/>
        </w:tabs>
        <w:ind w:start="1200" w:hanging="360"/>
      </w:pPr>
      <w:rPr/>
    </w:lvl>
    <w:lvl w:ilvl="2">
      <w:start w:val="1"/>
      <w:numFmt w:val="decimal"/>
      <w:lvlText w:val="%3."/>
      <w:lvlJc w:val="start"/>
      <w:pPr>
        <w:tabs>
          <w:tab w:val="num" w:pos="1560"/>
        </w:tabs>
        <w:ind w:start="1560" w:hanging="360"/>
      </w:pPr>
      <w:rPr/>
    </w:lvl>
    <w:lvl w:ilvl="3">
      <w:start w:val="1"/>
      <w:numFmt w:val="decimal"/>
      <w:lvlText w:val="%4."/>
      <w:lvlJc w:val="start"/>
      <w:pPr>
        <w:tabs>
          <w:tab w:val="num" w:pos="1920"/>
        </w:tabs>
        <w:ind w:start="1920" w:hanging="360"/>
      </w:pPr>
      <w:rPr/>
    </w:lvl>
    <w:lvl w:ilvl="4">
      <w:start w:val="1"/>
      <w:numFmt w:val="decimal"/>
      <w:lvlText w:val="%5."/>
      <w:lvlJc w:val="start"/>
      <w:pPr>
        <w:tabs>
          <w:tab w:val="num" w:pos="2280"/>
        </w:tabs>
        <w:ind w:start="2280" w:hanging="360"/>
      </w:pPr>
      <w:rPr/>
    </w:lvl>
    <w:lvl w:ilvl="5">
      <w:start w:val="1"/>
      <w:numFmt w:val="decimal"/>
      <w:lvlText w:val="%6."/>
      <w:lvlJc w:val="start"/>
      <w:pPr>
        <w:tabs>
          <w:tab w:val="num" w:pos="2640"/>
        </w:tabs>
        <w:ind w:start="2640" w:hanging="360"/>
      </w:pPr>
      <w:rPr/>
    </w:lvl>
    <w:lvl w:ilvl="6">
      <w:start w:val="1"/>
      <w:numFmt w:val="decimal"/>
      <w:lvlText w:val="%7."/>
      <w:lvlJc w:val="start"/>
      <w:pPr>
        <w:tabs>
          <w:tab w:val="num" w:pos="3000"/>
        </w:tabs>
        <w:ind w:start="3000" w:hanging="360"/>
      </w:pPr>
      <w:rPr/>
    </w:lvl>
    <w:lvl w:ilvl="7">
      <w:start w:val="1"/>
      <w:numFmt w:val="decimal"/>
      <w:lvlText w:val="%8."/>
      <w:lvlJc w:val="start"/>
      <w:pPr>
        <w:tabs>
          <w:tab w:val="num" w:pos="3360"/>
        </w:tabs>
        <w:ind w:start="3360" w:hanging="360"/>
      </w:pPr>
      <w:rPr/>
    </w:lvl>
    <w:lvl w:ilvl="8">
      <w:start w:val="1"/>
      <w:numFmt w:val="decimal"/>
      <w:lvlText w:val="%9."/>
      <w:lvlJc w:val="start"/>
      <w:pPr>
        <w:tabs>
          <w:tab w:val="num" w:pos="3720"/>
        </w:tabs>
        <w:ind w:start="3720" w:hanging="360"/>
      </w:pPr>
      <w:rPr/>
    </w:lvl>
  </w:abstractNum>
  <w:num w:numId="1">
    <w:abstractNumId w:val="1"/>
  </w:num>
  <w:num w:numId="2">
    <w:abstractNumId w:val="2"/>
  </w:num>
</w:numbering>
</file>

<file path=word/settings.xml><?xml version="1.0" encoding="utf-8"?>
<w:settings xmlns:w="http://schemas.openxmlformats.org/wordprocessingml/2006/main">
  <w:zoom w:percent="8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mbolosdenumerao">
    <w:name w:val="Símbolos de numeração"/>
    <w:qFormat/>
    <w:rPr/>
  </w:style>
  <w:style w:type="character" w:styleId="Cdigo-fonte">
    <w:name w:val="Código-fonte"/>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Bibliografia1">
    <w:name w:val="Bibliografia 1"/>
    <w:basedOn w:val="Ndice"/>
    <w:qFormat/>
    <w:pPr>
      <w:tabs>
        <w:tab w:val="clear" w:pos="709"/>
        <w:tab w:val="left" w:pos="528" w:leader="none"/>
      </w:tabs>
      <w:spacing w:lineRule="atLeast" w:line="240" w:before="0" w:after="240"/>
      <w:ind w:hanging="264" w:start="264"/>
    </w:pPr>
    <w:rPr/>
  </w:style>
  <w:style w:type="paragraph" w:styleId="Contedodatabela">
    <w:name w:val="Conteúdo da tabela"/>
    <w:basedOn w:val="Normal"/>
    <w:qFormat/>
    <w:pPr>
      <w:widowControl w:val="false"/>
      <w:suppressLineNumbers/>
    </w:pPr>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1508</TotalTime>
  <Application>LibreOffice/7.6.1.2$Windows_X86_64 LibreOffice_project/f5defcebd022c5bc36bbb79be232cb6926d8f674</Application>
  <AppVersion>15.0000</AppVersion>
  <Pages>1</Pages>
  <Words>203</Words>
  <Characters>1191</Characters>
  <CharactersWithSpaces>1354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2026-03-19T15:28:26Z</dcterms:created>
  <dc:creator/>
  <dc:description/>
  <dc:language>en-US</dc:language>
  <cp:lastModifiedBy/>
  <dcterms:modified xsi:type="dcterms:W3CDTF">2026-03-20T16:37:23Z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id="c0rFGhAK"/&gt;&lt;style id="http://www.zotero.org/styles/american-medical-association" hasBibliography="1" bibliographyStyleHasBeenSet="1"/&gt;&lt;prefs&gt;&lt;pref name="fieldType" value="ReferenceMark"/&gt;&lt;/prefs&gt;&lt;</vt:lpwstr>
  </property>
  <property fmtid="{D5CDD505-2E9C-101B-9397-08002B2CF9AE}" pid="3" name="ZOTERO_PREF_2">
    <vt:lpwstr>/data&gt;</vt:lpwstr>
  </property>
</Properties>
</file>