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736B" w14:textId="03170594" w:rsidR="001E257B" w:rsidRDefault="001E257B" w:rsidP="001E257B">
      <w:pPr>
        <w:jc w:val="center"/>
      </w:pPr>
      <w:r>
        <w:t xml:space="preserve">IMPORTANCIA QUE EL PROYECTO CURRICULAR DE INGENIERÍA TELEMÁTICA ARTICULADO POR CICLOS PROPEDÉUTICOS CON TECNOLOGÍA EN SISTEMATIZACIÓN DE DATOS VE CON UN ANÁLISIS </w:t>
      </w:r>
      <w:r w:rsidR="00C14587">
        <w:t xml:space="preserve">DE FUENTES </w:t>
      </w:r>
      <w:r>
        <w:t>A NIVEL CURRICULAR.</w:t>
      </w:r>
    </w:p>
    <w:p w14:paraId="30E64555" w14:textId="77777777" w:rsidR="001E257B" w:rsidRDefault="001E257B" w:rsidP="001E257B">
      <w:pPr>
        <w:jc w:val="center"/>
      </w:pPr>
    </w:p>
    <w:p w14:paraId="3E8E79CD" w14:textId="77777777" w:rsidR="009161BE" w:rsidRDefault="001E257B" w:rsidP="00C16C8C">
      <w:pPr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</w:pPr>
      <w:r>
        <w:t xml:space="preserve">Algunas </w:t>
      </w:r>
      <w:r w:rsidRPr="001E257B">
        <w:t xml:space="preserve">razones que destacan la importancia de un análisis de </w:t>
      </w:r>
      <w:r w:rsidR="00C16C8C">
        <w:t xml:space="preserve">fuentes </w:t>
      </w:r>
      <w:r w:rsidRPr="001E257B">
        <w:t xml:space="preserve">para los procesos mencionados </w:t>
      </w:r>
      <w:r>
        <w:t xml:space="preserve">al interior del proyecto curricular </w:t>
      </w:r>
      <w:r w:rsidRPr="001E257B">
        <w:t>de Ingeniería Telemática articulado por ciclos propedéuticos con Tecnología en Sistematización de Datos:</w:t>
      </w:r>
      <w:r w:rsidR="00C16C8C" w:rsidRPr="00C16C8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</w:p>
    <w:p w14:paraId="48613C93" w14:textId="77777777" w:rsidR="00507B74" w:rsidRDefault="00507B74" w:rsidP="00C16C8C">
      <w:pPr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</w:pPr>
    </w:p>
    <w:p w14:paraId="78C1EFB1" w14:textId="385A18C2" w:rsidR="00507B74" w:rsidRPr="00507B74" w:rsidRDefault="00507B74" w:rsidP="00507B74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50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8BD7F1A" wp14:editId="5C65617E">
            <wp:extent cx="5612130" cy="4130040"/>
            <wp:effectExtent l="0" t="0" r="7620" b="3810"/>
            <wp:docPr id="17405539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CECE" w14:textId="77777777" w:rsidR="00507B74" w:rsidRDefault="00507B74" w:rsidP="00C16C8C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47A3D971" w14:textId="77777777" w:rsidR="00507B74" w:rsidRPr="00507B74" w:rsidRDefault="00507B74" w:rsidP="00C16C8C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6FDA749F" w14:textId="1C59DD60" w:rsidR="00C16C8C" w:rsidRPr="00C16C8C" w:rsidRDefault="00C16C8C" w:rsidP="00C16C8C">
      <w:pPr>
        <w:jc w:val="both"/>
        <w:rPr>
          <w:b/>
          <w:bCs/>
        </w:rPr>
      </w:pPr>
      <w:r w:rsidRPr="00C16C8C">
        <w:rPr>
          <w:b/>
          <w:bCs/>
        </w:rPr>
        <w:t>Autoevaluación:</w:t>
      </w:r>
    </w:p>
    <w:p w14:paraId="2AB8F8CA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Identificar fortalezas y debilidades del programa:</w:t>
      </w:r>
      <w:r w:rsidRPr="00C16C8C">
        <w:t xml:space="preserve"> Las fuentes permiten recopilar datos confiables sobre logros, carencias y áreas de mejora.</w:t>
      </w:r>
    </w:p>
    <w:p w14:paraId="152D2F22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Respaldar decisiones basadas en evidencia:</w:t>
      </w:r>
      <w:r w:rsidRPr="00C16C8C">
        <w:t xml:space="preserve"> El análisis de fuentes garantiza que las decisiones tomadas durante la autoevaluación se basen en información concreta.</w:t>
      </w:r>
    </w:p>
    <w:p w14:paraId="0175E55A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lastRenderedPageBreak/>
        <w:t>Comparar indicadores con programas similares:</w:t>
      </w:r>
      <w:r w:rsidRPr="00C16C8C">
        <w:t xml:space="preserve"> Las fuentes externas proporcionan datos comparativos que posicionan al programa frente a otros.</w:t>
      </w:r>
    </w:p>
    <w:p w14:paraId="22EC5170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Validar la pertinencia del currículo:</w:t>
      </w:r>
      <w:r w:rsidRPr="00C16C8C">
        <w:t xml:space="preserve"> Consultar fuentes ayuda a confirmar que el currículo cumple con las necesidades actuales del entorno académico y laboral.</w:t>
      </w:r>
    </w:p>
    <w:p w14:paraId="5EFD01D0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Documentar el impacto de la investigación:</w:t>
      </w:r>
      <w:r w:rsidRPr="00C16C8C">
        <w:t xml:space="preserve"> Las fuentes destacan cómo los proyectos de investigación del programa generan valor académico y social.</w:t>
      </w:r>
    </w:p>
    <w:p w14:paraId="2B3B82E2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Garantizar la representatividad de las encuestas:</w:t>
      </w:r>
      <w:r w:rsidRPr="00C16C8C">
        <w:t xml:space="preserve"> Un análisis adecuado asegura que las percepciones de estudiantes, docentes y egresados sean reflejadas fielmente.</w:t>
      </w:r>
    </w:p>
    <w:p w14:paraId="2518F311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Identificar tendencias educativas globales:</w:t>
      </w:r>
      <w:r w:rsidRPr="00C16C8C">
        <w:t xml:space="preserve"> Fuentes internacionales permiten incorporar las mejores prácticas y metodologías actuales.</w:t>
      </w:r>
    </w:p>
    <w:p w14:paraId="49319A48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Monitorear la percepción de los empleadores:</w:t>
      </w:r>
      <w:r w:rsidRPr="00C16C8C">
        <w:t xml:space="preserve"> Fuentes como encuestas empresariales ayudan a evaluar cómo los empleadores perciben la formación de los egresados.</w:t>
      </w:r>
    </w:p>
    <w:p w14:paraId="0EF8A476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Evaluar la calidad de los procesos internos:</w:t>
      </w:r>
      <w:r w:rsidRPr="00C16C8C">
        <w:t xml:space="preserve"> El análisis de fuentes internas, como informes administrativos, muestra cómo se gestionan los recursos del programa.</w:t>
      </w:r>
    </w:p>
    <w:p w14:paraId="73C9F059" w14:textId="77777777" w:rsidR="00C16C8C" w:rsidRPr="00C16C8C" w:rsidRDefault="00C16C8C" w:rsidP="00C16C8C">
      <w:pPr>
        <w:numPr>
          <w:ilvl w:val="0"/>
          <w:numId w:val="13"/>
        </w:numPr>
        <w:jc w:val="both"/>
      </w:pPr>
      <w:r w:rsidRPr="00C16C8C">
        <w:rPr>
          <w:b/>
          <w:bCs/>
        </w:rPr>
        <w:t>Sustentar mejoras con datos históricos:</w:t>
      </w:r>
      <w:r w:rsidRPr="00C16C8C">
        <w:t xml:space="preserve"> Las fuentes históricas permiten evaluar el impacto de las mejoras implementadas en ciclos anteriores.</w:t>
      </w:r>
    </w:p>
    <w:p w14:paraId="251669FD" w14:textId="7ED8A201" w:rsidR="00507B74" w:rsidRDefault="00507B74">
      <w:r>
        <w:br w:type="page"/>
      </w:r>
    </w:p>
    <w:p w14:paraId="57CC0403" w14:textId="77777777" w:rsidR="00C16C8C" w:rsidRDefault="00C16C8C" w:rsidP="00C16C8C">
      <w:pPr>
        <w:jc w:val="both"/>
      </w:pPr>
    </w:p>
    <w:p w14:paraId="7344F28F" w14:textId="77777777" w:rsidR="00507B74" w:rsidRDefault="00507B74" w:rsidP="00C16C8C">
      <w:pPr>
        <w:jc w:val="both"/>
      </w:pPr>
    </w:p>
    <w:p w14:paraId="3B47FEB1" w14:textId="5E857A7D" w:rsidR="00507B74" w:rsidRPr="00507B74" w:rsidRDefault="00507B74" w:rsidP="00507B74">
      <w:pPr>
        <w:jc w:val="both"/>
      </w:pPr>
      <w:r w:rsidRPr="00507B74">
        <w:drawing>
          <wp:inline distT="0" distB="0" distL="0" distR="0" wp14:anchorId="22F5659D" wp14:editId="7AA6728D">
            <wp:extent cx="5612130" cy="3157855"/>
            <wp:effectExtent l="0" t="0" r="7620" b="4445"/>
            <wp:docPr id="6118505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1F55" w14:textId="77777777" w:rsidR="00507B74" w:rsidRPr="00C16C8C" w:rsidRDefault="00507B74" w:rsidP="00C16C8C">
      <w:pPr>
        <w:jc w:val="both"/>
      </w:pPr>
    </w:p>
    <w:p w14:paraId="67ECD8DD" w14:textId="77777777" w:rsidR="00C16C8C" w:rsidRPr="00C16C8C" w:rsidRDefault="00C16C8C" w:rsidP="00C16C8C">
      <w:pPr>
        <w:jc w:val="both"/>
        <w:rPr>
          <w:b/>
          <w:bCs/>
        </w:rPr>
      </w:pPr>
      <w:r w:rsidRPr="00C16C8C">
        <w:rPr>
          <w:b/>
          <w:bCs/>
        </w:rPr>
        <w:t>Acreditación Institucional:</w:t>
      </w:r>
    </w:p>
    <w:p w14:paraId="04487AD8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Demostrar el impacto social del programa:</w:t>
      </w:r>
      <w:r w:rsidRPr="00C16C8C">
        <w:t xml:space="preserve"> Fuentes externas resaltan cómo el programa contribuye al desarrollo local y nacional.</w:t>
      </w:r>
    </w:p>
    <w:p w14:paraId="6B9D5ACD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Alinear estándares institucionales con normativas nacionales:</w:t>
      </w:r>
      <w:r w:rsidRPr="00C16C8C">
        <w:t xml:space="preserve"> Las fuentes legales y regulatorias aseguran que el programa cumpla con los requisitos del Ministerio de Educación.</w:t>
      </w:r>
    </w:p>
    <w:p w14:paraId="0EB15C5E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Evidenciar la calidad del cuerpo docente:</w:t>
      </w:r>
      <w:r w:rsidRPr="00C16C8C">
        <w:t xml:space="preserve"> Fuentes como hojas de vida y publicaciones científicas respaldan el perfil de los docentes.</w:t>
      </w:r>
    </w:p>
    <w:p w14:paraId="45313939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Documentar la trayectoria del programa:</w:t>
      </w:r>
      <w:r w:rsidRPr="00C16C8C">
        <w:t xml:space="preserve"> El análisis de fuentes históricas demuestra la evolución y el crecimiento del programa.</w:t>
      </w:r>
    </w:p>
    <w:p w14:paraId="0C6D0698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Reflejar la infraestructura disponible:</w:t>
      </w:r>
      <w:r w:rsidRPr="00C16C8C">
        <w:t xml:space="preserve"> Fuentes internas verifican si los laboratorios, aulas y recursos tecnológicos son adecuados.</w:t>
      </w:r>
    </w:p>
    <w:p w14:paraId="4DA2A240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Establecer indicadores de rendimiento institucional:</w:t>
      </w:r>
      <w:r w:rsidRPr="00C16C8C">
        <w:t xml:space="preserve"> Fuentes estadísticas proporcionan métricas clave sobre la eficiencia y efectividad del programa.</w:t>
      </w:r>
    </w:p>
    <w:p w14:paraId="73375175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Medir la satisfacción de la comunidad universitaria:</w:t>
      </w:r>
      <w:r w:rsidRPr="00C16C8C">
        <w:t xml:space="preserve"> Fuentes como encuestas de satisfacción reflejan el nivel de aceptación del programa.</w:t>
      </w:r>
    </w:p>
    <w:p w14:paraId="2C3CD809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Justificar la inversión en infraestructura:</w:t>
      </w:r>
      <w:r w:rsidRPr="00C16C8C">
        <w:t xml:space="preserve"> Fuentes financieras muestran cómo se utilizan los recursos asignados al programa.</w:t>
      </w:r>
    </w:p>
    <w:p w14:paraId="3538A5B7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lastRenderedPageBreak/>
        <w:t>Fortalecer alianzas interinstitucionales:</w:t>
      </w:r>
      <w:r w:rsidRPr="00C16C8C">
        <w:t xml:space="preserve"> Fuentes externas destacan colaboraciones estratégicas que benefician al programa.</w:t>
      </w:r>
    </w:p>
    <w:p w14:paraId="593A2C27" w14:textId="77777777" w:rsidR="00C16C8C" w:rsidRPr="00C16C8C" w:rsidRDefault="00C16C8C" w:rsidP="00C16C8C">
      <w:pPr>
        <w:numPr>
          <w:ilvl w:val="0"/>
          <w:numId w:val="14"/>
        </w:numPr>
        <w:jc w:val="both"/>
      </w:pPr>
      <w:r w:rsidRPr="00C16C8C">
        <w:rPr>
          <w:b/>
          <w:bCs/>
        </w:rPr>
        <w:t>Validar la coherencia con la misión institucional:</w:t>
      </w:r>
      <w:r w:rsidRPr="00C16C8C">
        <w:t xml:space="preserve"> Fuentes como planes estratégicos aseguran que el programa esté alineado con la visión de la universidad.</w:t>
      </w:r>
    </w:p>
    <w:p w14:paraId="4E8B5B3E" w14:textId="36E9BA5D" w:rsidR="00C16C8C" w:rsidRDefault="00C16C8C">
      <w:r>
        <w:br w:type="page"/>
      </w:r>
    </w:p>
    <w:p w14:paraId="7ED4BB4C" w14:textId="77777777" w:rsidR="00507B74" w:rsidRDefault="00507B74" w:rsidP="00C16C8C">
      <w:pPr>
        <w:jc w:val="both"/>
        <w:rPr>
          <w:b/>
          <w:bCs/>
        </w:rPr>
      </w:pPr>
    </w:p>
    <w:p w14:paraId="1B418DCA" w14:textId="77777777" w:rsidR="00540EBE" w:rsidRDefault="00540EBE" w:rsidP="00C16C8C">
      <w:pPr>
        <w:jc w:val="both"/>
      </w:pPr>
    </w:p>
    <w:p w14:paraId="5B5DFD3F" w14:textId="77777777" w:rsidR="00540EBE" w:rsidRDefault="00540EBE" w:rsidP="00C16C8C">
      <w:pPr>
        <w:jc w:val="both"/>
      </w:pPr>
    </w:p>
    <w:p w14:paraId="11E2664B" w14:textId="7E85B6F2" w:rsidR="00540EBE" w:rsidRPr="00540EBE" w:rsidRDefault="00540EBE" w:rsidP="00540EBE">
      <w:pPr>
        <w:jc w:val="both"/>
      </w:pPr>
      <w:r w:rsidRPr="00540EBE">
        <w:drawing>
          <wp:inline distT="0" distB="0" distL="0" distR="0" wp14:anchorId="622072D6" wp14:editId="02868AC1">
            <wp:extent cx="5612130" cy="3310890"/>
            <wp:effectExtent l="0" t="0" r="7620" b="3810"/>
            <wp:docPr id="6293042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7CA4" w14:textId="77777777" w:rsidR="00540EBE" w:rsidRDefault="00540EBE" w:rsidP="00C16C8C">
      <w:pPr>
        <w:jc w:val="both"/>
      </w:pPr>
    </w:p>
    <w:p w14:paraId="625ADD6D" w14:textId="77777777" w:rsidR="00540EBE" w:rsidRPr="00540EBE" w:rsidRDefault="00540EBE" w:rsidP="00C16C8C">
      <w:pPr>
        <w:jc w:val="both"/>
      </w:pPr>
    </w:p>
    <w:p w14:paraId="54F37A41" w14:textId="6E1E4B74" w:rsidR="00C16C8C" w:rsidRPr="00C16C8C" w:rsidRDefault="00C16C8C" w:rsidP="00C16C8C">
      <w:pPr>
        <w:jc w:val="both"/>
        <w:rPr>
          <w:b/>
          <w:bCs/>
        </w:rPr>
      </w:pPr>
      <w:r w:rsidRPr="00C16C8C">
        <w:rPr>
          <w:b/>
          <w:bCs/>
        </w:rPr>
        <w:t>Acreditación del Programa:</w:t>
      </w:r>
    </w:p>
    <w:p w14:paraId="1BA6040E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Demostrar el cumplimiento de estándares de calidad:</w:t>
      </w:r>
      <w:r w:rsidRPr="00C16C8C">
        <w:t xml:space="preserve"> Fuentes oficiales como lineamientos del CESU validan que el programa cumpla con los criterios establecidos.</w:t>
      </w:r>
    </w:p>
    <w:p w14:paraId="4AF64AE7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Evidenciar resultados de aprendizaje claros:</w:t>
      </w:r>
      <w:r w:rsidRPr="00C16C8C">
        <w:t xml:space="preserve"> Fuentes académicas muestran cómo los egresados alcanzan las competencias definidas.</w:t>
      </w:r>
    </w:p>
    <w:p w14:paraId="65A45423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Justificar el impacto de los egresados en el mercado laboral:</w:t>
      </w:r>
      <w:r w:rsidRPr="00C16C8C">
        <w:t xml:space="preserve"> Fuentes externas como informes de empleabilidad reflejan el éxito de los graduados.</w:t>
      </w:r>
    </w:p>
    <w:p w14:paraId="6C3CA2D8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Validar la pertinencia de los proyectos de investigación:</w:t>
      </w:r>
      <w:r w:rsidRPr="00C16C8C">
        <w:t xml:space="preserve"> Fuentes académicas demuestran cómo las investigaciones resuelven problemas relevantes.</w:t>
      </w:r>
    </w:p>
    <w:p w14:paraId="6D403A64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Sustentar la participación activa de los estudiantes:</w:t>
      </w:r>
      <w:r w:rsidRPr="00C16C8C">
        <w:t xml:space="preserve"> Fuentes internas muestran evidencias de su involucramiento en proyectos, grupos y actividades académicas.</w:t>
      </w:r>
    </w:p>
    <w:p w14:paraId="540D0D55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Respaldar la internacionalización del programa:</w:t>
      </w:r>
      <w:r w:rsidRPr="00C16C8C">
        <w:t xml:space="preserve"> Fuentes globales reflejan la colaboración con instituciones extranjeras.</w:t>
      </w:r>
    </w:p>
    <w:p w14:paraId="13C54B3A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lastRenderedPageBreak/>
        <w:t>Asegurar la actualización de contenidos académicos:</w:t>
      </w:r>
      <w:r w:rsidRPr="00C16C8C">
        <w:t xml:space="preserve"> Fuentes como bibliografías y normativas tecnológicas confirman que los contenidos están actualizados.</w:t>
      </w:r>
    </w:p>
    <w:p w14:paraId="12E39F47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Monitorear el impacto de las prácticas empresariales:</w:t>
      </w:r>
      <w:r w:rsidRPr="00C16C8C">
        <w:t xml:space="preserve"> Fuentes externas validan la relevancia y el aprendizaje obtenido por los estudiantes en empresas.</w:t>
      </w:r>
    </w:p>
    <w:p w14:paraId="41622AE7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Sustentar la calidad de los trabajos de grado:</w:t>
      </w:r>
      <w:r w:rsidRPr="00C16C8C">
        <w:t xml:space="preserve"> Fuentes documentales evidencian la innovación y aplicación de conocimientos en estos proyectos.</w:t>
      </w:r>
    </w:p>
    <w:p w14:paraId="6E14BE07" w14:textId="77777777" w:rsidR="00C16C8C" w:rsidRPr="00C16C8C" w:rsidRDefault="00C16C8C" w:rsidP="00C16C8C">
      <w:pPr>
        <w:numPr>
          <w:ilvl w:val="0"/>
          <w:numId w:val="15"/>
        </w:numPr>
        <w:jc w:val="both"/>
      </w:pPr>
      <w:r w:rsidRPr="00C16C8C">
        <w:rPr>
          <w:b/>
          <w:bCs/>
        </w:rPr>
        <w:t>Promover la sostenibilidad del programa:</w:t>
      </w:r>
      <w:r w:rsidRPr="00C16C8C">
        <w:t xml:space="preserve"> Fuentes ambientales y sociales aseguran que el programa responde a los desafíos del desarrollo sostenible.</w:t>
      </w:r>
    </w:p>
    <w:p w14:paraId="3F9F4B11" w14:textId="351F8045" w:rsidR="00C16C8C" w:rsidRDefault="00C16C8C">
      <w:r>
        <w:br w:type="page"/>
      </w:r>
    </w:p>
    <w:p w14:paraId="7B1E1343" w14:textId="77777777" w:rsidR="00540EBE" w:rsidRDefault="00540EBE" w:rsidP="00C16C8C">
      <w:pPr>
        <w:jc w:val="both"/>
        <w:rPr>
          <w:b/>
          <w:bCs/>
        </w:rPr>
      </w:pPr>
    </w:p>
    <w:p w14:paraId="6821E484" w14:textId="77777777" w:rsidR="00540EBE" w:rsidRDefault="00540EBE" w:rsidP="00C16C8C">
      <w:pPr>
        <w:jc w:val="both"/>
        <w:rPr>
          <w:b/>
          <w:bCs/>
        </w:rPr>
      </w:pPr>
    </w:p>
    <w:p w14:paraId="7120992A" w14:textId="6470A977" w:rsidR="00610047" w:rsidRPr="00610047" w:rsidRDefault="00610047" w:rsidP="00610047">
      <w:pPr>
        <w:jc w:val="both"/>
        <w:rPr>
          <w:b/>
          <w:bCs/>
        </w:rPr>
      </w:pPr>
      <w:r w:rsidRPr="00610047">
        <w:rPr>
          <w:b/>
          <w:bCs/>
        </w:rPr>
        <w:drawing>
          <wp:inline distT="0" distB="0" distL="0" distR="0" wp14:anchorId="43E2DC0C" wp14:editId="0008960A">
            <wp:extent cx="5612130" cy="4271645"/>
            <wp:effectExtent l="0" t="0" r="7620" b="0"/>
            <wp:docPr id="62359498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B421" w14:textId="77777777" w:rsidR="00540EBE" w:rsidRDefault="00540EBE" w:rsidP="00C16C8C">
      <w:pPr>
        <w:jc w:val="both"/>
        <w:rPr>
          <w:b/>
          <w:bCs/>
        </w:rPr>
      </w:pPr>
    </w:p>
    <w:p w14:paraId="1B77B5F8" w14:textId="52ED77E9" w:rsidR="00C16C8C" w:rsidRPr="00C16C8C" w:rsidRDefault="00C16C8C" w:rsidP="00C16C8C">
      <w:pPr>
        <w:jc w:val="both"/>
        <w:rPr>
          <w:b/>
          <w:bCs/>
        </w:rPr>
      </w:pPr>
      <w:r w:rsidRPr="00C16C8C">
        <w:rPr>
          <w:b/>
          <w:bCs/>
        </w:rPr>
        <w:t>Reforma Curricular:</w:t>
      </w:r>
    </w:p>
    <w:p w14:paraId="5A8CB38C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Actualizar contenidos con base en evidencia:</w:t>
      </w:r>
      <w:r w:rsidRPr="00C16C8C">
        <w:t xml:space="preserve"> Las fuentes bibliográficas garantizan que el currículo esté alineado con las tendencias actuales.</w:t>
      </w:r>
    </w:p>
    <w:p w14:paraId="62D0F47F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Evaluar las demandas del sector productivo:</w:t>
      </w:r>
      <w:r w:rsidRPr="00C16C8C">
        <w:t xml:space="preserve"> Fuentes externas reflejan las competencias requeridas en la industria.</w:t>
      </w:r>
    </w:p>
    <w:p w14:paraId="0540A8E5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Incorporar tecnologías emergentes en el currículo:</w:t>
      </w:r>
      <w:r w:rsidRPr="00C16C8C">
        <w:t xml:space="preserve"> Fuentes tecnológicas respaldan la inclusión de nuevas herramientas y metodologías.</w:t>
      </w:r>
    </w:p>
    <w:p w14:paraId="1C9C1D3B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Eliminar redundancias en el plan de estudios:</w:t>
      </w:r>
      <w:r w:rsidRPr="00C16C8C">
        <w:t xml:space="preserve"> Fuentes académicas permiten identificar cursos que pueden ser fusionados o actualizados.</w:t>
      </w:r>
    </w:p>
    <w:p w14:paraId="2C1A1137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Promover la interdisciplinariedad:</w:t>
      </w:r>
      <w:r w:rsidRPr="00C16C8C">
        <w:t xml:space="preserve"> Fuentes externas destacan oportunidades para incluir enfoques integrados de varias áreas del conocimiento.</w:t>
      </w:r>
    </w:p>
    <w:p w14:paraId="7F1327F8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Optimizar la carga académica:</w:t>
      </w:r>
      <w:r w:rsidRPr="00C16C8C">
        <w:t xml:space="preserve"> Fuentes internas y externas ayudan a equilibrar los créditos y horarios del programa.</w:t>
      </w:r>
    </w:p>
    <w:p w14:paraId="1CF14FC1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lastRenderedPageBreak/>
        <w:t>Fomentar competencias blandas:</w:t>
      </w:r>
      <w:r w:rsidRPr="00C16C8C">
        <w:t xml:space="preserve"> Fuentes laborales evidencian la importancia de habilidades como liderazgo y comunicación.</w:t>
      </w:r>
    </w:p>
    <w:p w14:paraId="708D5FEC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Asegurar la inclusión de perspectivas globales:</w:t>
      </w:r>
      <w:r w:rsidRPr="00C16C8C">
        <w:t xml:space="preserve"> Fuentes internacionales proporcionan contenidos para enriquecer el currículo.</w:t>
      </w:r>
    </w:p>
    <w:p w14:paraId="7AA5E581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Adaptar metodologías pedagógicas:</w:t>
      </w:r>
      <w:r w:rsidRPr="00C16C8C">
        <w:t xml:space="preserve"> Fuentes académicas sugieren el uso de enfoques innovadores como aprendizaje activo y gamificación.</w:t>
      </w:r>
    </w:p>
    <w:p w14:paraId="496280F8" w14:textId="77777777" w:rsidR="00C16C8C" w:rsidRPr="00C16C8C" w:rsidRDefault="00C16C8C" w:rsidP="00C16C8C">
      <w:pPr>
        <w:numPr>
          <w:ilvl w:val="0"/>
          <w:numId w:val="16"/>
        </w:numPr>
        <w:jc w:val="both"/>
      </w:pPr>
      <w:r w:rsidRPr="00C16C8C">
        <w:rPr>
          <w:b/>
          <w:bCs/>
        </w:rPr>
        <w:t>Fortalecer la ética profesional:</w:t>
      </w:r>
      <w:r w:rsidRPr="00C16C8C">
        <w:t xml:space="preserve"> Fuentes éticas y sociales aseguran la formación integral de los estudiantes.</w:t>
      </w:r>
    </w:p>
    <w:p w14:paraId="1488A84B" w14:textId="3745D48F" w:rsidR="00C16C8C" w:rsidRDefault="00C16C8C">
      <w:r>
        <w:br w:type="page"/>
      </w:r>
    </w:p>
    <w:p w14:paraId="184AD860" w14:textId="77777777" w:rsidR="00610047" w:rsidRDefault="00610047" w:rsidP="00C16C8C">
      <w:pPr>
        <w:jc w:val="both"/>
        <w:rPr>
          <w:b/>
          <w:bCs/>
        </w:rPr>
      </w:pPr>
    </w:p>
    <w:p w14:paraId="28D485A0" w14:textId="75B684C9" w:rsidR="00610047" w:rsidRPr="00610047" w:rsidRDefault="00610047" w:rsidP="00610047">
      <w:pPr>
        <w:jc w:val="both"/>
        <w:rPr>
          <w:b/>
          <w:bCs/>
        </w:rPr>
      </w:pPr>
      <w:r w:rsidRPr="00610047">
        <w:rPr>
          <w:b/>
          <w:bCs/>
        </w:rPr>
        <w:drawing>
          <wp:inline distT="0" distB="0" distL="0" distR="0" wp14:anchorId="75B12B3C" wp14:editId="5F1CFA2D">
            <wp:extent cx="5612130" cy="4500880"/>
            <wp:effectExtent l="0" t="0" r="7620" b="0"/>
            <wp:docPr id="46812870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0384" w14:textId="77777777" w:rsidR="00610047" w:rsidRDefault="00610047" w:rsidP="00C16C8C">
      <w:pPr>
        <w:jc w:val="both"/>
        <w:rPr>
          <w:b/>
          <w:bCs/>
        </w:rPr>
      </w:pPr>
    </w:p>
    <w:p w14:paraId="01390554" w14:textId="77777777" w:rsidR="00610047" w:rsidRDefault="00610047" w:rsidP="00C16C8C">
      <w:pPr>
        <w:jc w:val="both"/>
        <w:rPr>
          <w:b/>
          <w:bCs/>
        </w:rPr>
      </w:pPr>
    </w:p>
    <w:p w14:paraId="4B6EDAFD" w14:textId="0A5BA163" w:rsidR="00C16C8C" w:rsidRPr="00C16C8C" w:rsidRDefault="00C16C8C" w:rsidP="00C16C8C">
      <w:pPr>
        <w:jc w:val="both"/>
        <w:rPr>
          <w:b/>
          <w:bCs/>
        </w:rPr>
      </w:pPr>
      <w:r w:rsidRPr="00C16C8C">
        <w:rPr>
          <w:b/>
          <w:bCs/>
        </w:rPr>
        <w:t>Otras áreas clave:</w:t>
      </w:r>
    </w:p>
    <w:p w14:paraId="76D3F42C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Seguimiento al Plan de Mejoramiento:</w:t>
      </w:r>
      <w:r w:rsidRPr="00C16C8C">
        <w:t xml:space="preserve"> Fuentes documentales permiten medir el avance en los compromisos establecidos en ciclos anteriores.</w:t>
      </w:r>
    </w:p>
    <w:p w14:paraId="3C4B3B23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Renovación de Acreditación Nacional:</w:t>
      </w:r>
      <w:r w:rsidRPr="00C16C8C">
        <w:t xml:space="preserve"> Fuentes externas aseguran que el programa continúa cumpliendo con los estándares de calidad definidos.</w:t>
      </w:r>
    </w:p>
    <w:p w14:paraId="2D2890FF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Pensar en una acreditación internacional:</w:t>
      </w:r>
      <w:r w:rsidRPr="00C16C8C">
        <w:t xml:space="preserve"> Fuentes globales permiten comparar el programa con referentes internacionales como ABET o EUR-ACE.</w:t>
      </w:r>
    </w:p>
    <w:p w14:paraId="084F53F7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Justificar el Registro Calificado:</w:t>
      </w:r>
      <w:r w:rsidRPr="00C16C8C">
        <w:t xml:space="preserve"> Fuentes legales validan que el programa cumple con los requisitos mínimos establecidos.</w:t>
      </w:r>
    </w:p>
    <w:p w14:paraId="6654EF96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Medir el impacto del egresado en la sociedad:</w:t>
      </w:r>
      <w:r w:rsidRPr="00C16C8C">
        <w:t xml:space="preserve"> Fuentes como encuestas y estudios longitudinales demuestran su contribución a diferentes sectores.</w:t>
      </w:r>
    </w:p>
    <w:p w14:paraId="63784AEC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lastRenderedPageBreak/>
        <w:t>Evaluar el perfil de los docentes:</w:t>
      </w:r>
      <w:r w:rsidRPr="00C16C8C">
        <w:t xml:space="preserve"> Fuentes académicas y profesionales reflejan el nivel de especialización y experiencia de los profesores.</w:t>
      </w:r>
    </w:p>
    <w:p w14:paraId="18DF1C20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Fomentar la movilidad académica:</w:t>
      </w:r>
      <w:r w:rsidRPr="00C16C8C">
        <w:t xml:space="preserve"> Fuentes internacionales muestran cómo se facilita el intercambio de estudiantes y docentes.</w:t>
      </w:r>
    </w:p>
    <w:p w14:paraId="4246A9AD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Asegurar la equidad en el acceso a la educación:</w:t>
      </w:r>
      <w:r w:rsidRPr="00C16C8C">
        <w:t xml:space="preserve"> Fuentes sociales reflejan cómo el programa promueve la inclusión.</w:t>
      </w:r>
    </w:p>
    <w:p w14:paraId="2BE83893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Demostrar avances tecnológicos:</w:t>
      </w:r>
      <w:r w:rsidRPr="00C16C8C">
        <w:t xml:space="preserve"> Fuentes de innovación muestran cómo el programa incorpora tecnologías de punta.</w:t>
      </w:r>
    </w:p>
    <w:p w14:paraId="06CF3A5E" w14:textId="77777777" w:rsidR="00C16C8C" w:rsidRPr="00C16C8C" w:rsidRDefault="00C16C8C" w:rsidP="00C16C8C">
      <w:pPr>
        <w:numPr>
          <w:ilvl w:val="0"/>
          <w:numId w:val="17"/>
        </w:numPr>
        <w:jc w:val="both"/>
      </w:pPr>
      <w:r w:rsidRPr="00C16C8C">
        <w:rPr>
          <w:b/>
          <w:bCs/>
        </w:rPr>
        <w:t>Respaldar la toma de decisiones estratégicas:</w:t>
      </w:r>
      <w:r w:rsidRPr="00C16C8C">
        <w:t xml:space="preserve"> Fuentes de análisis prospectivo aseguran que las decisiones estén orientadas al futuro del programa.</w:t>
      </w:r>
    </w:p>
    <w:p w14:paraId="0CF84845" w14:textId="77777777" w:rsidR="001E257B" w:rsidRDefault="001E257B" w:rsidP="001E257B">
      <w:pPr>
        <w:jc w:val="both"/>
      </w:pPr>
    </w:p>
    <w:sectPr w:rsidR="001E257B" w:rsidSect="0064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4515"/>
    <w:multiLevelType w:val="multilevel"/>
    <w:tmpl w:val="F70063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617B5"/>
    <w:multiLevelType w:val="multilevel"/>
    <w:tmpl w:val="460476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24FB"/>
    <w:multiLevelType w:val="multilevel"/>
    <w:tmpl w:val="E0DCFB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A40C4"/>
    <w:multiLevelType w:val="multilevel"/>
    <w:tmpl w:val="CEF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F26AF"/>
    <w:multiLevelType w:val="multilevel"/>
    <w:tmpl w:val="8A48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16B6D"/>
    <w:multiLevelType w:val="multilevel"/>
    <w:tmpl w:val="13D2D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84A4E"/>
    <w:multiLevelType w:val="multilevel"/>
    <w:tmpl w:val="A532F85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70E5D"/>
    <w:multiLevelType w:val="multilevel"/>
    <w:tmpl w:val="5280768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576B8"/>
    <w:multiLevelType w:val="multilevel"/>
    <w:tmpl w:val="8E12EC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924B5"/>
    <w:multiLevelType w:val="multilevel"/>
    <w:tmpl w:val="C798AA3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5415A"/>
    <w:multiLevelType w:val="multilevel"/>
    <w:tmpl w:val="C1A2D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40982"/>
    <w:multiLevelType w:val="multilevel"/>
    <w:tmpl w:val="C35AD4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66617"/>
    <w:multiLevelType w:val="multilevel"/>
    <w:tmpl w:val="B3E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412D8"/>
    <w:multiLevelType w:val="multilevel"/>
    <w:tmpl w:val="36F247C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91DA8"/>
    <w:multiLevelType w:val="multilevel"/>
    <w:tmpl w:val="B66244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826D2"/>
    <w:multiLevelType w:val="multilevel"/>
    <w:tmpl w:val="22F80D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B6805"/>
    <w:multiLevelType w:val="multilevel"/>
    <w:tmpl w:val="C2E2E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43179">
    <w:abstractNumId w:val="12"/>
  </w:num>
  <w:num w:numId="2" w16cid:durableId="617612756">
    <w:abstractNumId w:val="2"/>
  </w:num>
  <w:num w:numId="3" w16cid:durableId="1302810087">
    <w:abstractNumId w:val="11"/>
  </w:num>
  <w:num w:numId="4" w16cid:durableId="284193822">
    <w:abstractNumId w:val="13"/>
  </w:num>
  <w:num w:numId="5" w16cid:durableId="814957253">
    <w:abstractNumId w:val="15"/>
  </w:num>
  <w:num w:numId="6" w16cid:durableId="1096515355">
    <w:abstractNumId w:val="9"/>
  </w:num>
  <w:num w:numId="7" w16cid:durableId="312805426">
    <w:abstractNumId w:val="3"/>
  </w:num>
  <w:num w:numId="8" w16cid:durableId="1799833905">
    <w:abstractNumId w:val="14"/>
  </w:num>
  <w:num w:numId="9" w16cid:durableId="947354318">
    <w:abstractNumId w:val="1"/>
  </w:num>
  <w:num w:numId="10" w16cid:durableId="1704789168">
    <w:abstractNumId w:val="8"/>
  </w:num>
  <w:num w:numId="11" w16cid:durableId="1980259369">
    <w:abstractNumId w:val="10"/>
  </w:num>
  <w:num w:numId="12" w16cid:durableId="1942176213">
    <w:abstractNumId w:val="6"/>
  </w:num>
  <w:num w:numId="13" w16cid:durableId="1822846025">
    <w:abstractNumId w:val="4"/>
  </w:num>
  <w:num w:numId="14" w16cid:durableId="289895454">
    <w:abstractNumId w:val="16"/>
  </w:num>
  <w:num w:numId="15" w16cid:durableId="1413042419">
    <w:abstractNumId w:val="5"/>
  </w:num>
  <w:num w:numId="16" w16cid:durableId="102502303">
    <w:abstractNumId w:val="0"/>
  </w:num>
  <w:num w:numId="17" w16cid:durableId="1919291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A"/>
    <w:rsid w:val="00085846"/>
    <w:rsid w:val="001E257B"/>
    <w:rsid w:val="004172DA"/>
    <w:rsid w:val="00507B74"/>
    <w:rsid w:val="00535A08"/>
    <w:rsid w:val="00540EBE"/>
    <w:rsid w:val="00610047"/>
    <w:rsid w:val="00641033"/>
    <w:rsid w:val="007956AA"/>
    <w:rsid w:val="00880EF6"/>
    <w:rsid w:val="009161BE"/>
    <w:rsid w:val="009D63E2"/>
    <w:rsid w:val="00A276DA"/>
    <w:rsid w:val="00B01934"/>
    <w:rsid w:val="00BA7E79"/>
    <w:rsid w:val="00BF2CA4"/>
    <w:rsid w:val="00C14587"/>
    <w:rsid w:val="00C16C8C"/>
    <w:rsid w:val="00C257DD"/>
    <w:rsid w:val="00C566D6"/>
    <w:rsid w:val="00C76F31"/>
    <w:rsid w:val="00E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53C2"/>
  <w15:chartTrackingRefBased/>
  <w15:docId w15:val="{358947C8-0E5C-4CED-AA12-A78DE2FD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C16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1161</Words>
  <Characters>6390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WANUMEN SILVA</dc:creator>
  <cp:keywords/>
  <dc:description/>
  <cp:lastModifiedBy>LUIS FELIPE WANUMEN SILVA</cp:lastModifiedBy>
  <cp:revision>8</cp:revision>
  <dcterms:created xsi:type="dcterms:W3CDTF">2024-12-22T17:25:00Z</dcterms:created>
  <dcterms:modified xsi:type="dcterms:W3CDTF">2024-12-22T18:10:00Z</dcterms:modified>
</cp:coreProperties>
</file>