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B736B" w14:textId="4EDACF09" w:rsidR="001E257B" w:rsidRPr="00FF6EF7" w:rsidRDefault="001E257B" w:rsidP="004C2963">
      <w:pPr>
        <w:jc w:val="center"/>
      </w:pPr>
      <w:r w:rsidRPr="00FF6EF7">
        <w:t xml:space="preserve">IMPORTANCIA QUE EL PROYECTO CURRICULAR DE INGENIERÍA TELEMÁTICA ARTICULADO POR CICLOS PROPEDÉUTICOS CON TECNOLOGÍA EN SISTEMATIZACIÓN DE DATOS VE CON </w:t>
      </w:r>
      <w:r w:rsidR="00FF6EF7" w:rsidRPr="00FF6EF7">
        <w:t>UNA MIRADA ESTRATÉGICA DEL PROYECTO CURRICULAR</w:t>
      </w:r>
    </w:p>
    <w:p w14:paraId="30E64555" w14:textId="77777777" w:rsidR="001E257B" w:rsidRPr="00FF6EF7" w:rsidRDefault="001E257B" w:rsidP="00526DDD">
      <w:pPr>
        <w:jc w:val="both"/>
      </w:pPr>
    </w:p>
    <w:p w14:paraId="2587AB2D" w14:textId="284E0801" w:rsidR="00CE4295" w:rsidRPr="00FF6EF7" w:rsidRDefault="001E257B" w:rsidP="00526DDD">
      <w:pPr>
        <w:jc w:val="both"/>
      </w:pPr>
      <w:r w:rsidRPr="00FF6EF7">
        <w:t xml:space="preserve">Algunas razones que destacan la importancia de </w:t>
      </w:r>
      <w:r w:rsidR="00FF6EF7">
        <w:t xml:space="preserve">una mirada estratégica </w:t>
      </w:r>
      <w:r w:rsidRPr="00FF6EF7">
        <w:t>para los procesos mencionados al interior del proyecto curricular de Ingeniería Telemática articulado por ciclos propedéuticos con Tecnología en Sistematización de Datos:</w:t>
      </w:r>
    </w:p>
    <w:p w14:paraId="73E06A02" w14:textId="77777777" w:rsidR="00FF6EF7" w:rsidRDefault="00FF6EF7" w:rsidP="00526DDD">
      <w:pPr>
        <w:jc w:val="both"/>
      </w:pPr>
    </w:p>
    <w:p w14:paraId="6AA35A81" w14:textId="0A9C8670" w:rsidR="009F364E" w:rsidRPr="009F364E" w:rsidRDefault="009F364E" w:rsidP="009F364E">
      <w:pPr>
        <w:jc w:val="both"/>
      </w:pPr>
      <w:r w:rsidRPr="009F364E">
        <w:drawing>
          <wp:inline distT="0" distB="0" distL="0" distR="0" wp14:anchorId="7F0B2BFC" wp14:editId="4A3FBF59">
            <wp:extent cx="5612130" cy="4418330"/>
            <wp:effectExtent l="0" t="0" r="7620" b="1270"/>
            <wp:docPr id="18311253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0819" w14:textId="77777777" w:rsidR="009F364E" w:rsidRDefault="009F364E" w:rsidP="00526DDD">
      <w:pPr>
        <w:jc w:val="both"/>
      </w:pPr>
    </w:p>
    <w:p w14:paraId="7F5E5A4D" w14:textId="77777777" w:rsidR="009F364E" w:rsidRDefault="009F364E" w:rsidP="00526DDD">
      <w:pPr>
        <w:jc w:val="both"/>
      </w:pPr>
    </w:p>
    <w:p w14:paraId="69147629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1. Autoevaluación:</w:t>
      </w:r>
    </w:p>
    <w:p w14:paraId="5105E520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Proporciona un marco para analizar en profundidad los factores críticos que afectan al programa.</w:t>
      </w:r>
    </w:p>
    <w:p w14:paraId="6A33DB7B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Facilita la identificación precisa de las áreas que requieren mejora en el informe de autoevaluación.</w:t>
      </w:r>
    </w:p>
    <w:p w14:paraId="6277FC3C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lastRenderedPageBreak/>
        <w:t>Permite realizar un seguimiento sistemático del progreso hacia los objetivos de mejora continua.</w:t>
      </w:r>
    </w:p>
    <w:p w14:paraId="301481FC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Garantiza que el análisis se realice con datos actualizados y relevantes.</w:t>
      </w:r>
    </w:p>
    <w:p w14:paraId="1DCB6183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Facilita la toma de decisiones estratégicas con base en datos objetivos.</w:t>
      </w:r>
    </w:p>
    <w:p w14:paraId="1E68A493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Ayuda a priorizar los elementos del informe de autoevaluación de manera eficiente.</w:t>
      </w:r>
    </w:p>
    <w:p w14:paraId="2F7E67E8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Proporciona una visión clara y coherente de los logros y retos del programa.</w:t>
      </w:r>
    </w:p>
    <w:p w14:paraId="1F64F438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Optimiza el tiempo de redacción del informe de autoevaluación mediante un análisis estructurado.</w:t>
      </w:r>
    </w:p>
    <w:p w14:paraId="7EF9C003" w14:textId="77777777" w:rsidR="00FF6EF7" w:rsidRPr="00FF6EF7" w:rsidRDefault="00FF6EF7" w:rsidP="00FF6EF7">
      <w:pPr>
        <w:numPr>
          <w:ilvl w:val="0"/>
          <w:numId w:val="36"/>
        </w:numPr>
        <w:jc w:val="both"/>
      </w:pPr>
      <w:r w:rsidRPr="00FF6EF7">
        <w:t>Mejora la comunicación entre las distintas áreas del programa durante el proceso de autoevaluación.</w:t>
      </w:r>
    </w:p>
    <w:p w14:paraId="4E4831B8" w14:textId="6A73D273" w:rsidR="009F364E" w:rsidRDefault="00FF6EF7" w:rsidP="00FF6EF7">
      <w:pPr>
        <w:numPr>
          <w:ilvl w:val="0"/>
          <w:numId w:val="36"/>
        </w:numPr>
        <w:jc w:val="both"/>
      </w:pPr>
      <w:r w:rsidRPr="00FF6EF7">
        <w:t>Contribuye a identificar las mejores prácticas que deben ser documentadas para el informe de autoevaluación.</w:t>
      </w:r>
    </w:p>
    <w:p w14:paraId="785D7F3C" w14:textId="77777777" w:rsidR="009F364E" w:rsidRDefault="009F364E">
      <w:r>
        <w:br w:type="page"/>
      </w:r>
    </w:p>
    <w:p w14:paraId="674558FD" w14:textId="77777777" w:rsidR="00FF6EF7" w:rsidRDefault="00FF6EF7" w:rsidP="009F364E">
      <w:pPr>
        <w:jc w:val="both"/>
      </w:pPr>
    </w:p>
    <w:p w14:paraId="7BB0D3C9" w14:textId="77777777" w:rsidR="009F364E" w:rsidRDefault="009F364E" w:rsidP="009F364E">
      <w:pPr>
        <w:jc w:val="both"/>
      </w:pPr>
    </w:p>
    <w:p w14:paraId="75EAF68E" w14:textId="77777777" w:rsidR="009F364E" w:rsidRDefault="009F364E" w:rsidP="009F364E">
      <w:pPr>
        <w:jc w:val="both"/>
      </w:pPr>
    </w:p>
    <w:p w14:paraId="068369D0" w14:textId="77777777" w:rsidR="009F364E" w:rsidRDefault="009F364E" w:rsidP="009F364E">
      <w:pPr>
        <w:jc w:val="both"/>
      </w:pPr>
    </w:p>
    <w:p w14:paraId="0FA4DBDF" w14:textId="6BA38655" w:rsidR="009F364E" w:rsidRPr="009F364E" w:rsidRDefault="009F364E" w:rsidP="009F364E">
      <w:pPr>
        <w:jc w:val="both"/>
      </w:pPr>
      <w:r w:rsidRPr="009F364E">
        <w:drawing>
          <wp:inline distT="0" distB="0" distL="0" distR="0" wp14:anchorId="42B40807" wp14:editId="36C2D649">
            <wp:extent cx="5612130" cy="5579110"/>
            <wp:effectExtent l="0" t="0" r="7620" b="2540"/>
            <wp:docPr id="19864944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7EC7" w14:textId="77777777" w:rsidR="009F364E" w:rsidRPr="00FF6EF7" w:rsidRDefault="009F364E" w:rsidP="009F364E">
      <w:pPr>
        <w:jc w:val="both"/>
      </w:pPr>
    </w:p>
    <w:p w14:paraId="42A838C9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2. Acreditación Institucional:</w:t>
      </w:r>
    </w:p>
    <w:p w14:paraId="4A9741CC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Facilita una revisión exhaustiva de los procesos académicos del programa.</w:t>
      </w:r>
    </w:p>
    <w:p w14:paraId="27C41397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Permite alinear el programa con los estándares de calidad requeridos por la institución.</w:t>
      </w:r>
    </w:p>
    <w:p w14:paraId="28305196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Asegura que todos los componentes del programa sean medidos de manera uniforme.</w:t>
      </w:r>
    </w:p>
    <w:p w14:paraId="60B6B724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lastRenderedPageBreak/>
        <w:t>Proporciona una guía para mantener la calidad en todos los aspectos del proceso educativo.</w:t>
      </w:r>
    </w:p>
    <w:p w14:paraId="5C9CBD23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Mejora la capacidad de respuesta del programa a los cambios requeridos por la acreditación institucional.</w:t>
      </w:r>
    </w:p>
    <w:p w14:paraId="0410D87C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Ofrece un plan estructurado para enfrentar las fortalezas y debilidades del programa.</w:t>
      </w:r>
    </w:p>
    <w:p w14:paraId="154DCEB0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Facilita la identificación de las áreas en las que el programa excede o necesita mejorar.</w:t>
      </w:r>
    </w:p>
    <w:p w14:paraId="64FEEDE8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Optimiza el uso de recursos disponibles para cumplir con los estándares de calidad requeridos.</w:t>
      </w:r>
    </w:p>
    <w:p w14:paraId="22F9D16C" w14:textId="77777777" w:rsidR="00FF6EF7" w:rsidRPr="00FF6EF7" w:rsidRDefault="00FF6EF7" w:rsidP="00FF6EF7">
      <w:pPr>
        <w:numPr>
          <w:ilvl w:val="0"/>
          <w:numId w:val="37"/>
        </w:numPr>
        <w:jc w:val="both"/>
      </w:pPr>
      <w:r w:rsidRPr="00FF6EF7">
        <w:t>Contribuye a mantener la coherencia entre los objetivos del programa y los criterios de evaluación institucional.</w:t>
      </w:r>
    </w:p>
    <w:p w14:paraId="64E3E48A" w14:textId="32656686" w:rsidR="009F364E" w:rsidRDefault="00FF6EF7" w:rsidP="00FF6EF7">
      <w:pPr>
        <w:numPr>
          <w:ilvl w:val="0"/>
          <w:numId w:val="37"/>
        </w:numPr>
        <w:jc w:val="both"/>
      </w:pPr>
      <w:r w:rsidRPr="00FF6EF7">
        <w:t>Proporciona un seguimiento detallado de los avances durante el proceso de acreditación institucional.</w:t>
      </w:r>
    </w:p>
    <w:p w14:paraId="771AEE94" w14:textId="77777777" w:rsidR="009F364E" w:rsidRDefault="009F364E">
      <w:r>
        <w:br w:type="page"/>
      </w:r>
    </w:p>
    <w:p w14:paraId="75394DAA" w14:textId="77777777" w:rsidR="00FF6EF7" w:rsidRDefault="00FF6EF7" w:rsidP="009F364E">
      <w:pPr>
        <w:jc w:val="both"/>
      </w:pPr>
    </w:p>
    <w:p w14:paraId="278512A3" w14:textId="77777777" w:rsidR="009F364E" w:rsidRDefault="009F364E" w:rsidP="009F364E">
      <w:pPr>
        <w:jc w:val="both"/>
      </w:pPr>
    </w:p>
    <w:p w14:paraId="33397FA6" w14:textId="77777777" w:rsidR="009F364E" w:rsidRDefault="009F364E" w:rsidP="009F364E">
      <w:pPr>
        <w:jc w:val="both"/>
      </w:pPr>
    </w:p>
    <w:p w14:paraId="7949C3A0" w14:textId="44844613" w:rsidR="0097702C" w:rsidRPr="0097702C" w:rsidRDefault="0097702C" w:rsidP="0097702C">
      <w:pPr>
        <w:jc w:val="both"/>
      </w:pPr>
      <w:r w:rsidRPr="0097702C">
        <w:drawing>
          <wp:inline distT="0" distB="0" distL="0" distR="0" wp14:anchorId="632E10DC" wp14:editId="20144413">
            <wp:extent cx="5612130" cy="5801360"/>
            <wp:effectExtent l="0" t="0" r="7620" b="8890"/>
            <wp:docPr id="55177824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2480" w14:textId="77777777" w:rsidR="009F364E" w:rsidRPr="00FF6EF7" w:rsidRDefault="009F364E" w:rsidP="009F364E">
      <w:pPr>
        <w:jc w:val="both"/>
      </w:pPr>
    </w:p>
    <w:p w14:paraId="15C366D7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3. Acreditación del Programa:</w:t>
      </w:r>
    </w:p>
    <w:p w14:paraId="044CFE61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Permite un análisis estratégico detallado para cumplir con los estándares de calidad exigidos.</w:t>
      </w:r>
    </w:p>
    <w:p w14:paraId="18C79287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Proporciona una base sólida para comparar y medir la evolución del programa.</w:t>
      </w:r>
    </w:p>
    <w:p w14:paraId="3B4CFCDD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lastRenderedPageBreak/>
        <w:t>Contribuye a mantener la competitividad del programa en el ámbito académico.</w:t>
      </w:r>
    </w:p>
    <w:p w14:paraId="138D907E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Facilita la recopilación de evidencia para validar los resultados de aprendizaje del programa.</w:t>
      </w:r>
    </w:p>
    <w:p w14:paraId="38ECDBF5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Optimiza la documentación requerida para la acreditación del programa mediante una planificación efectiva.</w:t>
      </w:r>
    </w:p>
    <w:p w14:paraId="71BF29F5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Asegura la coherencia entre los objetivos del programa y los criterios de acreditación.</w:t>
      </w:r>
    </w:p>
    <w:p w14:paraId="4DB981AE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Proporciona un esquema claro para el seguimiento de la implementación de mejoras propuestas.</w:t>
      </w:r>
    </w:p>
    <w:p w14:paraId="60B0DCC8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Facilita la revisión continua de los programas de estudio para mantenerlos actualizados.</w:t>
      </w:r>
    </w:p>
    <w:p w14:paraId="7C12C60F" w14:textId="77777777" w:rsidR="00FF6EF7" w:rsidRPr="00FF6EF7" w:rsidRDefault="00FF6EF7" w:rsidP="00FF6EF7">
      <w:pPr>
        <w:numPr>
          <w:ilvl w:val="0"/>
          <w:numId w:val="38"/>
        </w:numPr>
        <w:jc w:val="both"/>
      </w:pPr>
      <w:r w:rsidRPr="00FF6EF7">
        <w:t>Mejora la identificación de necesidades académicas del sector productivo y del entorno social.</w:t>
      </w:r>
    </w:p>
    <w:p w14:paraId="774532BE" w14:textId="199A2D76" w:rsidR="0097702C" w:rsidRDefault="00FF6EF7" w:rsidP="00FF6EF7">
      <w:pPr>
        <w:numPr>
          <w:ilvl w:val="0"/>
          <w:numId w:val="38"/>
        </w:numPr>
        <w:jc w:val="both"/>
      </w:pPr>
      <w:r w:rsidRPr="00FF6EF7">
        <w:t>Optimiza la integración de las áreas del conocimiento para lograr una acreditación efectiva.</w:t>
      </w:r>
    </w:p>
    <w:p w14:paraId="4ACEBA85" w14:textId="77777777" w:rsidR="0097702C" w:rsidRDefault="0097702C">
      <w:r>
        <w:br w:type="page"/>
      </w:r>
    </w:p>
    <w:p w14:paraId="4C5CA7B2" w14:textId="77777777" w:rsidR="00FF6EF7" w:rsidRDefault="00FF6EF7" w:rsidP="0097702C">
      <w:pPr>
        <w:jc w:val="both"/>
      </w:pPr>
    </w:p>
    <w:p w14:paraId="7417102B" w14:textId="77777777" w:rsidR="0097702C" w:rsidRDefault="0097702C" w:rsidP="0097702C">
      <w:pPr>
        <w:jc w:val="both"/>
      </w:pPr>
    </w:p>
    <w:p w14:paraId="6E98284C" w14:textId="77777777" w:rsidR="0097702C" w:rsidRDefault="0097702C" w:rsidP="0097702C">
      <w:pPr>
        <w:jc w:val="both"/>
      </w:pPr>
    </w:p>
    <w:p w14:paraId="3C360D99" w14:textId="2D61106F" w:rsidR="0097702C" w:rsidRPr="0097702C" w:rsidRDefault="0097702C" w:rsidP="0097702C">
      <w:pPr>
        <w:jc w:val="both"/>
      </w:pPr>
      <w:r w:rsidRPr="0097702C">
        <w:drawing>
          <wp:inline distT="0" distB="0" distL="0" distR="0" wp14:anchorId="6B627BD8" wp14:editId="644B0739">
            <wp:extent cx="5612130" cy="4936490"/>
            <wp:effectExtent l="0" t="0" r="7620" b="0"/>
            <wp:docPr id="100152768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D8390" w14:textId="77777777" w:rsidR="0097702C" w:rsidRPr="00FF6EF7" w:rsidRDefault="0097702C" w:rsidP="0097702C">
      <w:pPr>
        <w:jc w:val="both"/>
      </w:pPr>
    </w:p>
    <w:p w14:paraId="34B8A89F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4. Reforma Curricular:</w:t>
      </w:r>
    </w:p>
    <w:p w14:paraId="2B29B082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Ayuda a identificar las necesidades de actualización del currículo de manera precisa.</w:t>
      </w:r>
    </w:p>
    <w:p w14:paraId="79652F68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Facilita la priorización de contenidos para mantener el programa actualizado con los avances tecnológicos.</w:t>
      </w:r>
    </w:p>
    <w:p w14:paraId="39D8B439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Proporciona una guía para la reestructuración del currículo según las demandas actuales del mercado laboral.</w:t>
      </w:r>
    </w:p>
    <w:p w14:paraId="4986C9E5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Contribuye a la integración efectiva de nuevas metodologías de enseñanza-aprendizaje.</w:t>
      </w:r>
    </w:p>
    <w:p w14:paraId="52FC3234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lastRenderedPageBreak/>
        <w:t>Permite una revisión continua del contenido del programa para que sea competitivo y relevante.</w:t>
      </w:r>
    </w:p>
    <w:p w14:paraId="301ED0D4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Proporciona una base sólida para adaptar el currículo a nuevas tendencias y necesidades educativas.</w:t>
      </w:r>
    </w:p>
    <w:p w14:paraId="293E29FC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Mejora la alineación del currículo con las expectativas del entorno internacional.</w:t>
      </w:r>
    </w:p>
    <w:p w14:paraId="50DD81A3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Facilita la integración de la tecnología en los planes de estudio para una formación más moderna.</w:t>
      </w:r>
    </w:p>
    <w:p w14:paraId="5CC322EE" w14:textId="77777777" w:rsidR="00FF6EF7" w:rsidRPr="00FF6EF7" w:rsidRDefault="00FF6EF7" w:rsidP="00FF6EF7">
      <w:pPr>
        <w:numPr>
          <w:ilvl w:val="0"/>
          <w:numId w:val="39"/>
        </w:numPr>
        <w:jc w:val="both"/>
      </w:pPr>
      <w:r w:rsidRPr="00FF6EF7">
        <w:t>Garantiza que el plan curricular esté en sincronía con los estándares de calidad requeridos por las acreditaciones nacionales e internacionales.</w:t>
      </w:r>
    </w:p>
    <w:p w14:paraId="451FE0B3" w14:textId="26B4BF9E" w:rsidR="0097702C" w:rsidRDefault="00FF6EF7" w:rsidP="00FF6EF7">
      <w:pPr>
        <w:numPr>
          <w:ilvl w:val="0"/>
          <w:numId w:val="39"/>
        </w:numPr>
        <w:jc w:val="both"/>
      </w:pPr>
      <w:r w:rsidRPr="00FF6EF7">
        <w:t>Proporciona un esquema de actualización curricular basado en datos de desempeño estudiantil.</w:t>
      </w:r>
    </w:p>
    <w:p w14:paraId="7F27D375" w14:textId="77777777" w:rsidR="0097702C" w:rsidRDefault="0097702C">
      <w:r>
        <w:br w:type="page"/>
      </w:r>
    </w:p>
    <w:p w14:paraId="49002C6A" w14:textId="77777777" w:rsidR="00FF6EF7" w:rsidRDefault="00FF6EF7" w:rsidP="0097702C">
      <w:pPr>
        <w:jc w:val="both"/>
      </w:pPr>
    </w:p>
    <w:p w14:paraId="24FFC129" w14:textId="77777777" w:rsidR="0097702C" w:rsidRDefault="0097702C" w:rsidP="0097702C">
      <w:pPr>
        <w:jc w:val="both"/>
      </w:pPr>
    </w:p>
    <w:p w14:paraId="6F9449CA" w14:textId="77777777" w:rsidR="0097702C" w:rsidRDefault="0097702C" w:rsidP="0097702C">
      <w:pPr>
        <w:jc w:val="both"/>
      </w:pPr>
    </w:p>
    <w:p w14:paraId="1941D9AD" w14:textId="2F39542F" w:rsidR="009D180A" w:rsidRPr="009D180A" w:rsidRDefault="009D180A" w:rsidP="009D180A">
      <w:pPr>
        <w:jc w:val="both"/>
      </w:pPr>
      <w:r w:rsidRPr="009D180A">
        <w:drawing>
          <wp:inline distT="0" distB="0" distL="0" distR="0" wp14:anchorId="68A83D3A" wp14:editId="43870E38">
            <wp:extent cx="5612130" cy="4174490"/>
            <wp:effectExtent l="0" t="0" r="7620" b="0"/>
            <wp:docPr id="83732628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D50" w14:textId="77777777" w:rsidR="0097702C" w:rsidRDefault="0097702C" w:rsidP="0097702C">
      <w:pPr>
        <w:jc w:val="both"/>
      </w:pPr>
    </w:p>
    <w:p w14:paraId="56336884" w14:textId="77777777" w:rsidR="009D180A" w:rsidRPr="00FF6EF7" w:rsidRDefault="009D180A" w:rsidP="0097702C">
      <w:pPr>
        <w:jc w:val="both"/>
      </w:pPr>
    </w:p>
    <w:p w14:paraId="72FBFD81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5. Seguimiento al Plan de Mejoramiento:</w:t>
      </w:r>
    </w:p>
    <w:p w14:paraId="48392CD5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Permite medir el impacto de las acciones de mejora implementadas en el plan de mejoramiento.</w:t>
      </w:r>
    </w:p>
    <w:p w14:paraId="5479C1AB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Facilita la identificación continua de áreas que necesitan atención especial.</w:t>
      </w:r>
    </w:p>
    <w:p w14:paraId="5E07923D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Proporciona un marco para evaluar el progreso hacia los objetivos establecidos en el plan de mejoramiento.</w:t>
      </w:r>
    </w:p>
    <w:p w14:paraId="6382152F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Garantiza que las acciones correctivas se implementen de manera efectiva y en tiempo.</w:t>
      </w:r>
    </w:p>
    <w:p w14:paraId="1073A2EA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Permite ajustar las estrategias de mejora en base a los resultados del seguimiento.</w:t>
      </w:r>
    </w:p>
    <w:p w14:paraId="3F3DA1A2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Asegura que las metas del plan de mejoramiento se alcancen con base en datos verificables.</w:t>
      </w:r>
    </w:p>
    <w:p w14:paraId="3A6E874A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Contribuye a mantener una cultura de mejora continua dentro del programa.</w:t>
      </w:r>
    </w:p>
    <w:p w14:paraId="3D48E7A4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lastRenderedPageBreak/>
        <w:t>Facilita la evaluación del progreso del plan de mejoramiento para futuras mejoras.</w:t>
      </w:r>
    </w:p>
    <w:p w14:paraId="30EB5C8A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Proporciona una herramienta de evaluación accesible para revisar el impacto de las mejoras académicas.</w:t>
      </w:r>
    </w:p>
    <w:p w14:paraId="5049EB6E" w14:textId="77777777" w:rsidR="00FF6EF7" w:rsidRPr="00FF6EF7" w:rsidRDefault="00FF6EF7" w:rsidP="00FF6EF7">
      <w:pPr>
        <w:numPr>
          <w:ilvl w:val="0"/>
          <w:numId w:val="40"/>
        </w:numPr>
        <w:jc w:val="both"/>
      </w:pPr>
      <w:r w:rsidRPr="00FF6EF7">
        <w:t>Asegura que las acciones correctivas sean revisadas con base en datos concretos y actualizados.</w:t>
      </w:r>
    </w:p>
    <w:p w14:paraId="3ED9B7DF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6. Renovación de Acreditación Nacional:</w:t>
      </w:r>
    </w:p>
    <w:p w14:paraId="416FC8D8" w14:textId="77777777" w:rsidR="00FF6EF7" w:rsidRPr="00FF6EF7" w:rsidRDefault="00FF6EF7" w:rsidP="00FF6EF7">
      <w:pPr>
        <w:numPr>
          <w:ilvl w:val="0"/>
          <w:numId w:val="41"/>
        </w:numPr>
        <w:jc w:val="both"/>
      </w:pPr>
      <w:r w:rsidRPr="00FF6EF7">
        <w:t>Proporciona un esquema detallado para mantener el programa actualizado con las exigencias actuales de calidad.</w:t>
      </w:r>
    </w:p>
    <w:p w14:paraId="7878D058" w14:textId="77777777" w:rsidR="00FF6EF7" w:rsidRPr="00FF6EF7" w:rsidRDefault="00FF6EF7" w:rsidP="00FF6EF7">
      <w:pPr>
        <w:numPr>
          <w:ilvl w:val="0"/>
          <w:numId w:val="41"/>
        </w:numPr>
        <w:jc w:val="both"/>
      </w:pPr>
      <w:r w:rsidRPr="00FF6EF7">
        <w:t>Facilita la revisión continua de las prácticas académicas para mantener la acreditación vigente.</w:t>
      </w:r>
    </w:p>
    <w:p w14:paraId="4DDDC3EB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7. Pensar en Acreditación Internacional:</w:t>
      </w:r>
    </w:p>
    <w:p w14:paraId="4FB1E344" w14:textId="77777777" w:rsidR="00FF6EF7" w:rsidRPr="00FF6EF7" w:rsidRDefault="00FF6EF7" w:rsidP="00FF6EF7">
      <w:pPr>
        <w:numPr>
          <w:ilvl w:val="0"/>
          <w:numId w:val="42"/>
        </w:numPr>
        <w:jc w:val="both"/>
      </w:pPr>
      <w:r w:rsidRPr="00FF6EF7">
        <w:t>Proporciona una guía para implementar estándares internacionales de calidad en el programa.</w:t>
      </w:r>
    </w:p>
    <w:p w14:paraId="766879D2" w14:textId="77777777" w:rsidR="00FF6EF7" w:rsidRPr="00FF6EF7" w:rsidRDefault="00FF6EF7" w:rsidP="00FF6EF7">
      <w:pPr>
        <w:numPr>
          <w:ilvl w:val="0"/>
          <w:numId w:val="42"/>
        </w:numPr>
        <w:jc w:val="both"/>
      </w:pPr>
      <w:r w:rsidRPr="00FF6EF7">
        <w:t>Contribuye a que el programa cumpla con criterios comparables a nivel global.</w:t>
      </w:r>
    </w:p>
    <w:p w14:paraId="2116707E" w14:textId="77777777" w:rsidR="00FF6EF7" w:rsidRPr="00FF6EF7" w:rsidRDefault="00FF6EF7" w:rsidP="00FF6EF7">
      <w:pPr>
        <w:jc w:val="both"/>
        <w:rPr>
          <w:b/>
          <w:bCs/>
        </w:rPr>
      </w:pPr>
      <w:r w:rsidRPr="00FF6EF7">
        <w:rPr>
          <w:b/>
          <w:bCs/>
        </w:rPr>
        <w:t>8. Registro Calificado:</w:t>
      </w:r>
    </w:p>
    <w:p w14:paraId="74E64758" w14:textId="77777777" w:rsidR="00FF6EF7" w:rsidRPr="00FF6EF7" w:rsidRDefault="00FF6EF7" w:rsidP="00FF6EF7">
      <w:pPr>
        <w:numPr>
          <w:ilvl w:val="0"/>
          <w:numId w:val="43"/>
        </w:numPr>
        <w:jc w:val="both"/>
      </w:pPr>
      <w:r w:rsidRPr="00FF6EF7">
        <w:t>Asegura que el programa cumpla con todos los requisitos legales y educativos exigidos por el Ministerio de Educación Nacional.</w:t>
      </w:r>
    </w:p>
    <w:p w14:paraId="414BF64D" w14:textId="77777777" w:rsidR="00FF6EF7" w:rsidRPr="00FF6EF7" w:rsidRDefault="00FF6EF7" w:rsidP="00FF6EF7">
      <w:pPr>
        <w:numPr>
          <w:ilvl w:val="0"/>
          <w:numId w:val="43"/>
        </w:numPr>
        <w:jc w:val="both"/>
      </w:pPr>
      <w:r w:rsidRPr="00FF6EF7">
        <w:t>Permite una validación continua de la oferta académica del programa.</w:t>
      </w:r>
    </w:p>
    <w:p w14:paraId="408C00C5" w14:textId="77777777" w:rsidR="00FF6EF7" w:rsidRDefault="00FF6EF7" w:rsidP="00526DDD">
      <w:pPr>
        <w:jc w:val="both"/>
      </w:pPr>
    </w:p>
    <w:p w14:paraId="4C141B23" w14:textId="77777777" w:rsidR="00FF6EF7" w:rsidRDefault="00FF6EF7" w:rsidP="00526DDD">
      <w:pPr>
        <w:jc w:val="both"/>
      </w:pPr>
    </w:p>
    <w:p w14:paraId="5819EE79" w14:textId="77777777" w:rsidR="00FF6EF7" w:rsidRPr="00FF6EF7" w:rsidRDefault="00FF6EF7" w:rsidP="00526DDD">
      <w:pPr>
        <w:jc w:val="both"/>
      </w:pPr>
    </w:p>
    <w:p w14:paraId="1995C50C" w14:textId="77777777" w:rsidR="00FF6EF7" w:rsidRPr="00FF6EF7" w:rsidRDefault="00FF6EF7" w:rsidP="00526DDD">
      <w:pPr>
        <w:jc w:val="both"/>
      </w:pPr>
    </w:p>
    <w:p w14:paraId="3B8A2573" w14:textId="77777777" w:rsidR="00FF6EF7" w:rsidRPr="00FF6EF7" w:rsidRDefault="00FF6EF7" w:rsidP="00526DDD">
      <w:pPr>
        <w:jc w:val="both"/>
      </w:pPr>
    </w:p>
    <w:sectPr w:rsidR="00FF6EF7" w:rsidRPr="00FF6EF7" w:rsidSect="0064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D4515"/>
    <w:multiLevelType w:val="multilevel"/>
    <w:tmpl w:val="F70063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C7FAA"/>
    <w:multiLevelType w:val="multilevel"/>
    <w:tmpl w:val="D1AAF19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54281"/>
    <w:multiLevelType w:val="multilevel"/>
    <w:tmpl w:val="3E1053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A4F8C"/>
    <w:multiLevelType w:val="multilevel"/>
    <w:tmpl w:val="EF9C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3DAB"/>
    <w:multiLevelType w:val="multilevel"/>
    <w:tmpl w:val="FB4057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617B5"/>
    <w:multiLevelType w:val="multilevel"/>
    <w:tmpl w:val="460476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F6CCD"/>
    <w:multiLevelType w:val="multilevel"/>
    <w:tmpl w:val="6602E1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45FCA"/>
    <w:multiLevelType w:val="multilevel"/>
    <w:tmpl w:val="32F64F1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324FB"/>
    <w:multiLevelType w:val="multilevel"/>
    <w:tmpl w:val="E0DCFB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A40C4"/>
    <w:multiLevelType w:val="multilevel"/>
    <w:tmpl w:val="CEF4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F26AF"/>
    <w:multiLevelType w:val="multilevel"/>
    <w:tmpl w:val="8A48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16B6D"/>
    <w:multiLevelType w:val="multilevel"/>
    <w:tmpl w:val="13D2D1B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92DF3"/>
    <w:multiLevelType w:val="multilevel"/>
    <w:tmpl w:val="F60CE21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612B59"/>
    <w:multiLevelType w:val="multilevel"/>
    <w:tmpl w:val="5A0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33EF4"/>
    <w:multiLevelType w:val="multilevel"/>
    <w:tmpl w:val="919A46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84A4E"/>
    <w:multiLevelType w:val="multilevel"/>
    <w:tmpl w:val="A532F85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B6BF6"/>
    <w:multiLevelType w:val="multilevel"/>
    <w:tmpl w:val="11347C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25081C"/>
    <w:multiLevelType w:val="multilevel"/>
    <w:tmpl w:val="9D7E78C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70E5D"/>
    <w:multiLevelType w:val="multilevel"/>
    <w:tmpl w:val="5280768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7576B8"/>
    <w:multiLevelType w:val="multilevel"/>
    <w:tmpl w:val="8E12EC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7E202B"/>
    <w:multiLevelType w:val="multilevel"/>
    <w:tmpl w:val="9A6A4B9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9924B5"/>
    <w:multiLevelType w:val="multilevel"/>
    <w:tmpl w:val="C798AA3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15415A"/>
    <w:multiLevelType w:val="multilevel"/>
    <w:tmpl w:val="C1A2DA2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784009"/>
    <w:multiLevelType w:val="multilevel"/>
    <w:tmpl w:val="BBF8C22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B67C0"/>
    <w:multiLevelType w:val="multilevel"/>
    <w:tmpl w:val="20B2A9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925FD"/>
    <w:multiLevelType w:val="multilevel"/>
    <w:tmpl w:val="341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F544E"/>
    <w:multiLevelType w:val="multilevel"/>
    <w:tmpl w:val="D6AE4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140982"/>
    <w:multiLevelType w:val="multilevel"/>
    <w:tmpl w:val="C35AD44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1629A3"/>
    <w:multiLevelType w:val="multilevel"/>
    <w:tmpl w:val="251A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66617"/>
    <w:multiLevelType w:val="multilevel"/>
    <w:tmpl w:val="B3E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A412D8"/>
    <w:multiLevelType w:val="multilevel"/>
    <w:tmpl w:val="36F247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2F2E8F"/>
    <w:multiLevelType w:val="multilevel"/>
    <w:tmpl w:val="D344974A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2E5420"/>
    <w:multiLevelType w:val="multilevel"/>
    <w:tmpl w:val="14F2CE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0423A8"/>
    <w:multiLevelType w:val="multilevel"/>
    <w:tmpl w:val="5D74B07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51374"/>
    <w:multiLevelType w:val="multilevel"/>
    <w:tmpl w:val="F8EC371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91DA8"/>
    <w:multiLevelType w:val="multilevel"/>
    <w:tmpl w:val="B66244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644613"/>
    <w:multiLevelType w:val="multilevel"/>
    <w:tmpl w:val="2F4255A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0267C1"/>
    <w:multiLevelType w:val="multilevel"/>
    <w:tmpl w:val="28141214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2826D2"/>
    <w:multiLevelType w:val="multilevel"/>
    <w:tmpl w:val="22F80D4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1817B0"/>
    <w:multiLevelType w:val="multilevel"/>
    <w:tmpl w:val="BA70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C4C25"/>
    <w:multiLevelType w:val="multilevel"/>
    <w:tmpl w:val="FA76122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5B6805"/>
    <w:multiLevelType w:val="multilevel"/>
    <w:tmpl w:val="C2E2E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F6235C"/>
    <w:multiLevelType w:val="multilevel"/>
    <w:tmpl w:val="95DC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43179">
    <w:abstractNumId w:val="29"/>
  </w:num>
  <w:num w:numId="2" w16cid:durableId="617612756">
    <w:abstractNumId w:val="8"/>
  </w:num>
  <w:num w:numId="3" w16cid:durableId="1302810087">
    <w:abstractNumId w:val="27"/>
  </w:num>
  <w:num w:numId="4" w16cid:durableId="284193822">
    <w:abstractNumId w:val="30"/>
  </w:num>
  <w:num w:numId="5" w16cid:durableId="814957253">
    <w:abstractNumId w:val="38"/>
  </w:num>
  <w:num w:numId="6" w16cid:durableId="1096515355">
    <w:abstractNumId w:val="21"/>
  </w:num>
  <w:num w:numId="7" w16cid:durableId="312805426">
    <w:abstractNumId w:val="9"/>
  </w:num>
  <w:num w:numId="8" w16cid:durableId="1799833905">
    <w:abstractNumId w:val="35"/>
  </w:num>
  <w:num w:numId="9" w16cid:durableId="947354318">
    <w:abstractNumId w:val="5"/>
  </w:num>
  <w:num w:numId="10" w16cid:durableId="1704789168">
    <w:abstractNumId w:val="19"/>
  </w:num>
  <w:num w:numId="11" w16cid:durableId="1980259369">
    <w:abstractNumId w:val="22"/>
  </w:num>
  <w:num w:numId="12" w16cid:durableId="1942176213">
    <w:abstractNumId w:val="15"/>
  </w:num>
  <w:num w:numId="13" w16cid:durableId="1822846025">
    <w:abstractNumId w:val="10"/>
  </w:num>
  <w:num w:numId="14" w16cid:durableId="289895454">
    <w:abstractNumId w:val="41"/>
  </w:num>
  <w:num w:numId="15" w16cid:durableId="1413042419">
    <w:abstractNumId w:val="11"/>
  </w:num>
  <w:num w:numId="16" w16cid:durableId="102502303">
    <w:abstractNumId w:val="0"/>
  </w:num>
  <w:num w:numId="17" w16cid:durableId="1919291662">
    <w:abstractNumId w:val="18"/>
  </w:num>
  <w:num w:numId="18" w16cid:durableId="1491483441">
    <w:abstractNumId w:val="3"/>
  </w:num>
  <w:num w:numId="19" w16cid:durableId="1132018308">
    <w:abstractNumId w:val="24"/>
  </w:num>
  <w:num w:numId="20" w16cid:durableId="948782359">
    <w:abstractNumId w:val="36"/>
  </w:num>
  <w:num w:numId="21" w16cid:durableId="1785806955">
    <w:abstractNumId w:val="6"/>
  </w:num>
  <w:num w:numId="22" w16cid:durableId="669256960">
    <w:abstractNumId w:val="34"/>
  </w:num>
  <w:num w:numId="23" w16cid:durableId="255553181">
    <w:abstractNumId w:val="39"/>
  </w:num>
  <w:num w:numId="24" w16cid:durableId="1520121448">
    <w:abstractNumId w:val="32"/>
  </w:num>
  <w:num w:numId="25" w16cid:durableId="322509976">
    <w:abstractNumId w:val="16"/>
  </w:num>
  <w:num w:numId="26" w16cid:durableId="1676957217">
    <w:abstractNumId w:val="1"/>
  </w:num>
  <w:num w:numId="27" w16cid:durableId="1687445396">
    <w:abstractNumId w:val="20"/>
  </w:num>
  <w:num w:numId="28" w16cid:durableId="2136170713">
    <w:abstractNumId w:val="42"/>
  </w:num>
  <w:num w:numId="29" w16cid:durableId="387188025">
    <w:abstractNumId w:val="14"/>
  </w:num>
  <w:num w:numId="30" w16cid:durableId="444884770">
    <w:abstractNumId w:val="4"/>
  </w:num>
  <w:num w:numId="31" w16cid:durableId="1825734465">
    <w:abstractNumId w:val="23"/>
  </w:num>
  <w:num w:numId="32" w16cid:durableId="553929724">
    <w:abstractNumId w:val="17"/>
  </w:num>
  <w:num w:numId="33" w16cid:durableId="1849367024">
    <w:abstractNumId w:val="28"/>
  </w:num>
  <w:num w:numId="34" w16cid:durableId="1219170226">
    <w:abstractNumId w:val="13"/>
  </w:num>
  <w:num w:numId="35" w16cid:durableId="663359475">
    <w:abstractNumId w:val="25"/>
  </w:num>
  <w:num w:numId="36" w16cid:durableId="1297564272">
    <w:abstractNumId w:val="26"/>
  </w:num>
  <w:num w:numId="37" w16cid:durableId="1290553274">
    <w:abstractNumId w:val="2"/>
  </w:num>
  <w:num w:numId="38" w16cid:durableId="839806579">
    <w:abstractNumId w:val="33"/>
  </w:num>
  <w:num w:numId="39" w16cid:durableId="1346251178">
    <w:abstractNumId w:val="40"/>
  </w:num>
  <w:num w:numId="40" w16cid:durableId="1975596963">
    <w:abstractNumId w:val="12"/>
  </w:num>
  <w:num w:numId="41" w16cid:durableId="1576816857">
    <w:abstractNumId w:val="7"/>
  </w:num>
  <w:num w:numId="42" w16cid:durableId="983513044">
    <w:abstractNumId w:val="31"/>
  </w:num>
  <w:num w:numId="43" w16cid:durableId="2144485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A"/>
    <w:rsid w:val="00085846"/>
    <w:rsid w:val="000A1682"/>
    <w:rsid w:val="000A27C9"/>
    <w:rsid w:val="001E257B"/>
    <w:rsid w:val="001F5D48"/>
    <w:rsid w:val="004172DA"/>
    <w:rsid w:val="004C2963"/>
    <w:rsid w:val="00526DDD"/>
    <w:rsid w:val="00535A08"/>
    <w:rsid w:val="0063271E"/>
    <w:rsid w:val="00641033"/>
    <w:rsid w:val="006542E7"/>
    <w:rsid w:val="00654C42"/>
    <w:rsid w:val="007956AA"/>
    <w:rsid w:val="007D76ED"/>
    <w:rsid w:val="00880EF6"/>
    <w:rsid w:val="0097702C"/>
    <w:rsid w:val="009D180A"/>
    <w:rsid w:val="009D63E2"/>
    <w:rsid w:val="009F364E"/>
    <w:rsid w:val="00A276DA"/>
    <w:rsid w:val="00A377A2"/>
    <w:rsid w:val="00B01934"/>
    <w:rsid w:val="00BA7E79"/>
    <w:rsid w:val="00BF2CA4"/>
    <w:rsid w:val="00C14587"/>
    <w:rsid w:val="00C16C8C"/>
    <w:rsid w:val="00C257DD"/>
    <w:rsid w:val="00C34538"/>
    <w:rsid w:val="00C76F31"/>
    <w:rsid w:val="00CE4295"/>
    <w:rsid w:val="00D6772A"/>
    <w:rsid w:val="00DA0DAD"/>
    <w:rsid w:val="00E4449B"/>
    <w:rsid w:val="00EF4288"/>
    <w:rsid w:val="00FF6381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53C2"/>
  <w15:chartTrackingRefBased/>
  <w15:docId w15:val="{358947C8-0E5C-4CED-AA12-A78DE2F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C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C16C8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914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WANUMEN SILVA</dc:creator>
  <cp:keywords/>
  <dc:description/>
  <cp:lastModifiedBy>LUIS FELIPE WANUMEN SILVA</cp:lastModifiedBy>
  <cp:revision>7</cp:revision>
  <dcterms:created xsi:type="dcterms:W3CDTF">2024-12-22T17:43:00Z</dcterms:created>
  <dcterms:modified xsi:type="dcterms:W3CDTF">2024-12-22T19:32:00Z</dcterms:modified>
</cp:coreProperties>
</file>