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4F46E5"/>
          <w:sz w:val="44"/>
        </w:rPr>
        <w:t>Reporte de avance: curso de Vue.js</w:t>
      </w:r>
    </w:p>
    <w:p>
      <w:pPr>
        <w:spacing w:before="0" w:after="280"/>
      </w:pPr>
      <w:r>
        <w:rPr>
          <w:rFonts w:ascii="Calibri" w:hAnsi="Calibri"/>
          <w:color w:val="6B7280"/>
          <w:sz w:val="21"/>
        </w:rPr>
        <w:t>Octubre 2026</w:t>
      </w:r>
    </w:p>
    <w:p>
      <w:pPr>
        <w:keepNext/>
        <w:spacing w:before="260" w:after="80"/>
      </w:pPr>
      <w:r>
        <w:rPr>
          <w:rFonts w:ascii="Calibri" w:hAnsi="Calibri"/>
          <w:b/>
          <w:color w:val="1F2937"/>
          <w:sz w:val="27"/>
        </w:rPr>
        <w:t>1. Resumen</w:t>
      </w:r>
    </w:p>
    <w:p>
      <w:pPr>
        <w:spacing w:before="0" w:after="80" w:line="276" w:lineRule="auto"/>
      </w:pPr>
      <w:r>
        <w:rPr>
          <w:color w:val="374151"/>
        </w:rPr>
        <w:t>Se ha registrado un avance sustancial en el curso, completando de forma integral 8 secciones y alcanzando la lección 129 de la Sección 9 (Vue Router - SPA). En total se han cursado 129 clases con más de 14 horas de dedicación efectiva. Todo el contenido teórico y práctico se encuentra reflejado en el repositorio oficial de GitHub mediante cuatro proyectos organizados modularmente: la introducción con Vue 3 CDN (02-intro-vue), la aplicación completa y testeada de mensajería asíncrona (indecision-app), el juego interactivo con consumo de API y testing exhaustivo (pokemon-game), y la arquitectura de rutas con componentes y layouts en la nueva SPA (vue-spa).</w:t>
      </w:r>
    </w:p>
    <w:p>
      <w:pPr>
        <w:keepNext/>
        <w:spacing w:before="260" w:after="80"/>
      </w:pPr>
      <w:r>
        <w:rPr>
          <w:rFonts w:ascii="Calibri" w:hAnsi="Calibri"/>
          <w:b/>
          <w:color w:val="1F2937"/>
          <w:sz w:val="27"/>
        </w:rPr>
        <w:t>2. Lecciones tomadas y tiempo efectivo</w:t>
      </w:r>
    </w:p>
    <w:tbl>
      <w:tblPr>
        <w:tblW w:type="auto" w:w="0"/>
        <w:jc w:val="center"/>
        <w:tblLook w:firstColumn="1" w:firstRow="1" w:lastColumn="0" w:lastRow="0" w:noHBand="0" w:noVBand="1" w:val="04A0"/>
      </w:tblPr>
      <w:tblGrid>
        <w:gridCol w:w="3216"/>
        <w:gridCol w:w="3216"/>
        <w:gridCol w:w="3216"/>
      </w:tblGrid>
      <w:tr>
        <w:trPr>
          <w:trHeight w:val="340" w:hRule="atLeast"/>
        </w:trPr>
        <w:tc>
          <w:tcPr>
            <w:tcW w:type="dxa" w:w="5472"/>
            <w:vAlign w:val="center"/>
            <w:tcMar>
              <w:top w:w="120" w:type="dxa"/>
              <w:bottom w:w="120" w:type="dxa"/>
              <w:left w:w="150" w:type="dxa"/>
              <w:right w:w="150" w:type="dxa"/>
            </w:tcMar>
            <w:shd w:fill="4F46E5"/>
            <w:tcBorders>
              <w:top w:val="none"/>
              <w:left w:val="none"/>
              <w:right w:val="none"/>
              <w:bottom w:val="single" w:sz="12" w:space="0" w:color="4F46E5"/>
            </w:tcBorders>
          </w:tcPr>
          <w:p>
            <w:pPr>
              <w:spacing w:before="0" w:after="0"/>
              <w:jc w:val="left"/>
            </w:pPr>
            <w:r>
              <w:rPr>
                <w:rFonts w:ascii="Calibri" w:hAnsi="Calibri"/>
                <w:b/>
                <w:color w:val="FFFFFF"/>
                <w:sz w:val="19"/>
              </w:rPr>
              <w:t>Sección</w:t>
            </w:r>
          </w:p>
        </w:tc>
        <w:tc>
          <w:tcPr>
            <w:tcW w:type="dxa" w:w="2592"/>
            <w:vAlign w:val="center"/>
            <w:tcMar>
              <w:top w:w="120" w:type="dxa"/>
              <w:bottom w:w="120" w:type="dxa"/>
              <w:left w:w="150" w:type="dxa"/>
              <w:right w:w="150" w:type="dxa"/>
            </w:tcMar>
            <w:shd w:fill="4F46E5"/>
            <w:tcBorders>
              <w:top w:val="none"/>
              <w:left w:val="none"/>
              <w:right w:val="none"/>
              <w:bottom w:val="single" w:sz="12" w:space="0" w:color="4F46E5"/>
            </w:tcBorders>
          </w:tcPr>
          <w:p>
            <w:pPr>
              <w:spacing w:before="0" w:after="0"/>
              <w:jc w:val="left"/>
            </w:pPr>
            <w:r>
              <w:rPr>
                <w:rFonts w:ascii="Calibri" w:hAnsi="Calibri"/>
                <w:b/>
                <w:color w:val="FFFFFF"/>
                <w:sz w:val="19"/>
              </w:rPr>
              <w:t>Estado</w:t>
            </w:r>
          </w:p>
        </w:tc>
        <w:tc>
          <w:tcPr>
            <w:tcW w:type="dxa" w:w="1584"/>
            <w:vAlign w:val="center"/>
            <w:tcMar>
              <w:top w:w="120" w:type="dxa"/>
              <w:bottom w:w="120" w:type="dxa"/>
              <w:left w:w="150" w:type="dxa"/>
              <w:right w:w="150" w:type="dxa"/>
            </w:tcMar>
            <w:shd w:fill="4F46E5"/>
            <w:tcBorders>
              <w:top w:val="none"/>
              <w:left w:val="none"/>
              <w:right w:val="none"/>
              <w:bottom w:val="single" w:sz="12" w:space="0" w:color="4F46E5"/>
            </w:tcBorders>
          </w:tcPr>
          <w:p>
            <w:pPr>
              <w:spacing w:before="0" w:after="0"/>
              <w:jc w:val="left"/>
            </w:pPr>
            <w:r>
              <w:rPr>
                <w:rFonts w:ascii="Calibri" w:hAnsi="Calibri"/>
                <w:b/>
                <w:color w:val="FFFFFF"/>
                <w:sz w:val="19"/>
              </w:rPr>
              <w:t>Duración</w:t>
            </w:r>
          </w:p>
        </w:tc>
      </w:tr>
      <w:tr>
        <w:trPr>
          <w:trHeight w:val="340" w:hRule="atLeast"/>
        </w:trPr>
        <w:tc>
          <w:tcPr>
            <w:tcW w:type="dxa" w:w="5472"/>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left"/>
            </w:pPr>
            <w:r>
              <w:rPr>
                <w:rFonts w:ascii="Calibri" w:hAnsi="Calibri"/>
                <w:color w:val="374151"/>
                <w:sz w:val="19"/>
              </w:rPr>
              <w:t>1. Introducción al curso</w:t>
            </w:r>
          </w:p>
        </w:tc>
        <w:tc>
          <w:tcPr>
            <w:tcW w:type="dxa" w:w="2592"/>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center"/>
            </w:pPr>
            <w:r>
              <w:rPr>
                <w:rFonts w:ascii="Calibri" w:hAnsi="Calibri"/>
                <w:color w:val="374151"/>
                <w:sz w:val="19"/>
              </w:rPr>
              <w:t>Completa (4/4)</w:t>
            </w:r>
          </w:p>
        </w:tc>
        <w:tc>
          <w:tcPr>
            <w:tcW w:type="dxa" w:w="1584"/>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right"/>
            </w:pPr>
            <w:r>
              <w:rPr>
                <w:rFonts w:ascii="Calibri" w:hAnsi="Calibri"/>
                <w:color w:val="374151"/>
                <w:sz w:val="19"/>
              </w:rPr>
              <w:t>17 min</w:t>
            </w:r>
          </w:p>
        </w:tc>
      </w:tr>
      <w:tr>
        <w:trPr>
          <w:trHeight w:val="340" w:hRule="atLeast"/>
        </w:trPr>
        <w:tc>
          <w:tcPr>
            <w:tcW w:type="dxa" w:w="5472"/>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left"/>
            </w:pPr>
            <w:r>
              <w:rPr>
                <w:rFonts w:ascii="Calibri" w:hAnsi="Calibri"/>
                <w:color w:val="374151"/>
                <w:sz w:val="19"/>
              </w:rPr>
              <w:t>2. Reforzamiento de JavaScript / TypeScript</w:t>
            </w:r>
          </w:p>
        </w:tc>
        <w:tc>
          <w:tcPr>
            <w:tcW w:type="dxa" w:w="2592"/>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center"/>
            </w:pPr>
            <w:r>
              <w:rPr>
                <w:rFonts w:ascii="Calibri" w:hAnsi="Calibri"/>
                <w:color w:val="374151"/>
                <w:sz w:val="19"/>
              </w:rPr>
              <w:t>Completa (19/19)</w:t>
            </w:r>
          </w:p>
        </w:tc>
        <w:tc>
          <w:tcPr>
            <w:tcW w:type="dxa" w:w="1584"/>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right"/>
            </w:pPr>
            <w:r>
              <w:rPr>
                <w:rFonts w:ascii="Calibri" w:hAnsi="Calibri"/>
                <w:color w:val="374151"/>
                <w:sz w:val="19"/>
              </w:rPr>
              <w:t>2 h 12 min</w:t>
            </w:r>
          </w:p>
        </w:tc>
      </w:tr>
      <w:tr>
        <w:trPr>
          <w:trHeight w:val="340" w:hRule="atLeast"/>
        </w:trPr>
        <w:tc>
          <w:tcPr>
            <w:tcW w:type="dxa" w:w="5472"/>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left"/>
            </w:pPr>
            <w:r>
              <w:rPr>
                <w:rFonts w:ascii="Calibri" w:hAnsi="Calibri"/>
                <w:color w:val="374151"/>
                <w:sz w:val="19"/>
              </w:rPr>
              <w:t>3. Introducción a Vue.js</w:t>
            </w:r>
          </w:p>
        </w:tc>
        <w:tc>
          <w:tcPr>
            <w:tcW w:type="dxa" w:w="2592"/>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center"/>
            </w:pPr>
            <w:r>
              <w:rPr>
                <w:rFonts w:ascii="Calibri" w:hAnsi="Calibri"/>
                <w:color w:val="374151"/>
                <w:sz w:val="19"/>
              </w:rPr>
              <w:t>Completa (12/12)</w:t>
            </w:r>
          </w:p>
        </w:tc>
        <w:tc>
          <w:tcPr>
            <w:tcW w:type="dxa" w:w="1584"/>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right"/>
            </w:pPr>
            <w:r>
              <w:rPr>
                <w:rFonts w:ascii="Calibri" w:hAnsi="Calibri"/>
                <w:color w:val="374151"/>
                <w:sz w:val="19"/>
              </w:rPr>
              <w:t>1 h 11 min</w:t>
            </w:r>
          </w:p>
        </w:tc>
      </w:tr>
      <w:tr>
        <w:trPr>
          <w:trHeight w:val="340" w:hRule="atLeast"/>
        </w:trPr>
        <w:tc>
          <w:tcPr>
            <w:tcW w:type="dxa" w:w="5472"/>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left"/>
            </w:pPr>
            <w:r>
              <w:rPr>
                <w:rFonts w:ascii="Calibri" w:hAnsi="Calibri"/>
                <w:color w:val="374151"/>
                <w:sz w:val="19"/>
              </w:rPr>
              <w:t>4. Vue + Vite: Single-File Components</w:t>
            </w:r>
          </w:p>
        </w:tc>
        <w:tc>
          <w:tcPr>
            <w:tcW w:type="dxa" w:w="2592"/>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center"/>
            </w:pPr>
            <w:r>
              <w:rPr>
                <w:rFonts w:ascii="Calibri" w:hAnsi="Calibri"/>
                <w:color w:val="374151"/>
                <w:sz w:val="19"/>
              </w:rPr>
              <w:t>Completa (15/15)</w:t>
            </w:r>
          </w:p>
        </w:tc>
        <w:tc>
          <w:tcPr>
            <w:tcW w:type="dxa" w:w="1584"/>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right"/>
            </w:pPr>
            <w:r>
              <w:rPr>
                <w:rFonts w:ascii="Calibri" w:hAnsi="Calibri"/>
                <w:color w:val="374151"/>
                <w:sz w:val="19"/>
              </w:rPr>
              <w:t>1 h 31 min</w:t>
            </w:r>
          </w:p>
        </w:tc>
      </w:tr>
      <w:tr>
        <w:trPr>
          <w:trHeight w:val="340" w:hRule="atLeast"/>
        </w:trPr>
        <w:tc>
          <w:tcPr>
            <w:tcW w:type="dxa" w:w="5472"/>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left"/>
            </w:pPr>
            <w:r>
              <w:rPr>
                <w:rFonts w:ascii="Calibri" w:hAnsi="Calibri"/>
                <w:color w:val="374151"/>
                <w:sz w:val="19"/>
              </w:rPr>
              <w:t>5. Indecision App - Continuación</w:t>
            </w:r>
          </w:p>
        </w:tc>
        <w:tc>
          <w:tcPr>
            <w:tcW w:type="dxa" w:w="2592"/>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center"/>
            </w:pPr>
            <w:r>
              <w:rPr>
                <w:rFonts w:ascii="Calibri" w:hAnsi="Calibri"/>
                <w:color w:val="374151"/>
                <w:sz w:val="19"/>
              </w:rPr>
              <w:t>Completa (13/13)</w:t>
            </w:r>
          </w:p>
        </w:tc>
        <w:tc>
          <w:tcPr>
            <w:tcW w:type="dxa" w:w="1584"/>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right"/>
            </w:pPr>
            <w:r>
              <w:rPr>
                <w:rFonts w:ascii="Calibri" w:hAnsi="Calibri"/>
                <w:color w:val="374151"/>
                <w:sz w:val="19"/>
              </w:rPr>
              <w:t>1 h 6 min</w:t>
            </w:r>
          </w:p>
        </w:tc>
      </w:tr>
      <w:tr>
        <w:trPr>
          <w:trHeight w:val="340" w:hRule="atLeast"/>
        </w:trPr>
        <w:tc>
          <w:tcPr>
            <w:tcW w:type="dxa" w:w="5472"/>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left"/>
            </w:pPr>
            <w:r>
              <w:rPr>
                <w:rFonts w:ascii="Calibri" w:hAnsi="Calibri"/>
                <w:color w:val="374151"/>
                <w:sz w:val="19"/>
              </w:rPr>
              <w:t>6. Introducción a las pruebas unitarias y de integración</w:t>
            </w:r>
          </w:p>
        </w:tc>
        <w:tc>
          <w:tcPr>
            <w:tcW w:type="dxa" w:w="2592"/>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center"/>
            </w:pPr>
            <w:r>
              <w:rPr>
                <w:rFonts w:ascii="Calibri" w:hAnsi="Calibri"/>
                <w:color w:val="374151"/>
                <w:sz w:val="19"/>
              </w:rPr>
              <w:t>Completa (21/21)</w:t>
            </w:r>
          </w:p>
        </w:tc>
        <w:tc>
          <w:tcPr>
            <w:tcW w:type="dxa" w:w="1584"/>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right"/>
            </w:pPr>
            <w:r>
              <w:rPr>
                <w:rFonts w:ascii="Calibri" w:hAnsi="Calibri"/>
                <w:color w:val="374151"/>
                <w:sz w:val="19"/>
              </w:rPr>
              <w:t>2 h 47 min</w:t>
            </w:r>
          </w:p>
        </w:tc>
      </w:tr>
      <w:tr>
        <w:trPr>
          <w:trHeight w:val="340" w:hRule="atLeast"/>
        </w:trPr>
        <w:tc>
          <w:tcPr>
            <w:tcW w:type="dxa" w:w="5472"/>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left"/>
            </w:pPr>
            <w:r>
              <w:rPr>
                <w:rFonts w:ascii="Calibri" w:hAnsi="Calibri"/>
                <w:color w:val="374151"/>
                <w:sz w:val="19"/>
              </w:rPr>
              <w:t>7. Pokemon Game</w:t>
            </w:r>
          </w:p>
        </w:tc>
        <w:tc>
          <w:tcPr>
            <w:tcW w:type="dxa" w:w="2592"/>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center"/>
            </w:pPr>
            <w:r>
              <w:rPr>
                <w:rFonts w:ascii="Calibri" w:hAnsi="Calibri"/>
                <w:color w:val="374151"/>
                <w:sz w:val="19"/>
              </w:rPr>
              <w:t>Completa (15/15)</w:t>
            </w:r>
          </w:p>
        </w:tc>
        <w:tc>
          <w:tcPr>
            <w:tcW w:type="dxa" w:w="1584"/>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right"/>
            </w:pPr>
            <w:r>
              <w:rPr>
                <w:rFonts w:ascii="Calibri" w:hAnsi="Calibri"/>
                <w:color w:val="374151"/>
                <w:sz w:val="19"/>
              </w:rPr>
              <w:t>1 h 26 min</w:t>
            </w:r>
          </w:p>
        </w:tc>
      </w:tr>
      <w:tr>
        <w:trPr>
          <w:trHeight w:val="340" w:hRule="atLeast"/>
        </w:trPr>
        <w:tc>
          <w:tcPr>
            <w:tcW w:type="dxa" w:w="5472"/>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left"/>
            </w:pPr>
            <w:r>
              <w:rPr>
                <w:rFonts w:ascii="Calibri" w:hAnsi="Calibri"/>
                <w:color w:val="374151"/>
                <w:sz w:val="19"/>
              </w:rPr>
              <w:t>8. Testing - Pokemon Game</w:t>
            </w:r>
          </w:p>
        </w:tc>
        <w:tc>
          <w:tcPr>
            <w:tcW w:type="dxa" w:w="2592"/>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center"/>
            </w:pPr>
            <w:r>
              <w:rPr>
                <w:rFonts w:ascii="Calibri" w:hAnsi="Calibri"/>
                <w:color w:val="374151"/>
                <w:sz w:val="19"/>
              </w:rPr>
              <w:t>Completa (17/17)</w:t>
            </w:r>
          </w:p>
        </w:tc>
        <w:tc>
          <w:tcPr>
            <w:tcW w:type="dxa" w:w="1584"/>
            <w:vAlign w:val="center"/>
            <w:tcMar>
              <w:top w:w="120" w:type="dxa"/>
              <w:bottom w:w="120" w:type="dxa"/>
              <w:left w:w="150" w:type="dxa"/>
              <w:right w:w="150" w:type="dxa"/>
            </w:tcMar>
            <w:tcBorders>
              <w:top w:val="none"/>
              <w:left w:val="none"/>
              <w:right w:val="none"/>
              <w:bottom w:val="single" w:sz="4" w:space="0" w:color="E5E7EB"/>
            </w:tcBorders>
          </w:tcPr>
          <w:p>
            <w:pPr>
              <w:spacing w:before="0" w:after="0"/>
              <w:jc w:val="right"/>
            </w:pPr>
            <w:r>
              <w:rPr>
                <w:rFonts w:ascii="Calibri" w:hAnsi="Calibri"/>
                <w:color w:val="374151"/>
                <w:sz w:val="19"/>
              </w:rPr>
              <w:t>2 h 13 min</w:t>
            </w:r>
          </w:p>
        </w:tc>
      </w:tr>
      <w:tr>
        <w:trPr>
          <w:trHeight w:val="340" w:hRule="atLeast"/>
        </w:trPr>
        <w:tc>
          <w:tcPr>
            <w:tcW w:type="dxa" w:w="5472"/>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left"/>
            </w:pPr>
            <w:r>
              <w:rPr>
                <w:rFonts w:ascii="Calibri" w:hAnsi="Calibri"/>
                <w:color w:val="374151"/>
                <w:sz w:val="19"/>
              </w:rPr>
              <w:t>9. Vue Router - SPA - Single Page Applications</w:t>
            </w:r>
          </w:p>
        </w:tc>
        <w:tc>
          <w:tcPr>
            <w:tcW w:type="dxa" w:w="2592"/>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center"/>
            </w:pPr>
            <w:r>
              <w:rPr>
                <w:rFonts w:ascii="Calibri" w:hAnsi="Calibri"/>
                <w:color w:val="374151"/>
                <w:sz w:val="19"/>
              </w:rPr>
              <w:t>En progreso (13/19)</w:t>
            </w:r>
          </w:p>
        </w:tc>
        <w:tc>
          <w:tcPr>
            <w:tcW w:type="dxa" w:w="1584"/>
            <w:vAlign w:val="center"/>
            <w:tcMar>
              <w:top w:w="120" w:type="dxa"/>
              <w:bottom w:w="120" w:type="dxa"/>
              <w:left w:w="150" w:type="dxa"/>
              <w:right w:w="150" w:type="dxa"/>
            </w:tcMar>
            <w:shd w:fill="F9FAFB"/>
            <w:tcBorders>
              <w:top w:val="none"/>
              <w:left w:val="none"/>
              <w:right w:val="none"/>
              <w:bottom w:val="single" w:sz="4" w:space="0" w:color="E5E7EB"/>
            </w:tcBorders>
          </w:tcPr>
          <w:p>
            <w:pPr>
              <w:spacing w:before="0" w:after="0"/>
              <w:jc w:val="right"/>
            </w:pPr>
            <w:r>
              <w:rPr>
                <w:rFonts w:ascii="Calibri" w:hAnsi="Calibri"/>
                <w:color w:val="374151"/>
                <w:sz w:val="19"/>
              </w:rPr>
              <w:t>1 h 30 min</w:t>
            </w:r>
          </w:p>
        </w:tc>
      </w:tr>
      <w:tr>
        <w:trPr>
          <w:trHeight w:val="340" w:hRule="atLeast"/>
        </w:trPr>
        <w:tc>
          <w:tcPr>
            <w:tcW w:type="dxa" w:w="5472"/>
            <w:vAlign w:val="center"/>
            <w:tcMar>
              <w:top w:w="120" w:type="dxa"/>
              <w:bottom w:w="120" w:type="dxa"/>
              <w:left w:w="150" w:type="dxa"/>
              <w:right w:w="150" w:type="dxa"/>
            </w:tcMar>
            <w:shd w:fill="EEF2FF"/>
            <w:tcBorders>
              <w:top w:val="single" w:sz="12" w:space="0" w:color="4F46E5"/>
              <w:left w:val="none"/>
              <w:right w:val="none"/>
              <w:bottom w:val="single" w:sz="12" w:space="0" w:color="4F46E5"/>
            </w:tcBorders>
          </w:tcPr>
          <w:p>
            <w:pPr>
              <w:spacing w:before="0" w:after="0"/>
              <w:jc w:val="left"/>
            </w:pPr>
            <w:r>
              <w:rPr>
                <w:rFonts w:ascii="Calibri" w:hAnsi="Calibri"/>
                <w:b/>
                <w:color w:val="1F2937"/>
                <w:sz w:val="19"/>
              </w:rPr>
              <w:t>Total acumulado</w:t>
            </w:r>
          </w:p>
        </w:tc>
        <w:tc>
          <w:tcPr>
            <w:tcW w:type="dxa" w:w="2592"/>
            <w:vAlign w:val="center"/>
            <w:tcMar>
              <w:top w:w="120" w:type="dxa"/>
              <w:bottom w:w="120" w:type="dxa"/>
              <w:left w:w="150" w:type="dxa"/>
              <w:right w:w="150" w:type="dxa"/>
            </w:tcMar>
            <w:shd w:fill="EEF2FF"/>
            <w:tcBorders>
              <w:top w:val="single" w:sz="12" w:space="0" w:color="4F46E5"/>
              <w:left w:val="none"/>
              <w:right w:val="none"/>
              <w:bottom w:val="single" w:sz="12" w:space="0" w:color="4F46E5"/>
            </w:tcBorders>
          </w:tcPr>
          <w:p>
            <w:pPr>
              <w:spacing w:before="0" w:after="0"/>
              <w:jc w:val="center"/>
            </w:pPr>
            <w:r>
              <w:rPr>
                <w:rFonts w:ascii="Calibri" w:hAnsi="Calibri"/>
                <w:b/>
                <w:color w:val="1F2937"/>
                <w:sz w:val="19"/>
              </w:rPr>
              <w:t>129 clases completadas</w:t>
            </w:r>
          </w:p>
        </w:tc>
        <w:tc>
          <w:tcPr>
            <w:tcW w:type="dxa" w:w="1584"/>
            <w:vAlign w:val="center"/>
            <w:tcMar>
              <w:top w:w="120" w:type="dxa"/>
              <w:bottom w:w="120" w:type="dxa"/>
              <w:left w:w="150" w:type="dxa"/>
              <w:right w:w="150" w:type="dxa"/>
            </w:tcMar>
            <w:shd w:fill="EEF2FF"/>
            <w:tcBorders>
              <w:top w:val="single" w:sz="12" w:space="0" w:color="4F46E5"/>
              <w:left w:val="none"/>
              <w:right w:val="none"/>
              <w:bottom w:val="single" w:sz="12" w:space="0" w:color="4F46E5"/>
            </w:tcBorders>
          </w:tcPr>
          <w:p>
            <w:pPr>
              <w:spacing w:before="0" w:after="0"/>
              <w:jc w:val="right"/>
            </w:pPr>
            <w:r>
              <w:rPr>
                <w:rFonts w:ascii="Calibri" w:hAnsi="Calibri"/>
                <w:b/>
                <w:color w:val="1F2937"/>
                <w:sz w:val="19"/>
              </w:rPr>
              <w:t>14 h 13 min</w:t>
            </w:r>
          </w:p>
        </w:tc>
      </w:tr>
    </w:tbl>
    <w:p>
      <w:pPr>
        <w:spacing w:after="80"/>
      </w:pPr>
    </w:p>
    <w:p>
      <w:pPr>
        <w:keepNext/>
        <w:spacing w:before="260" w:after="80"/>
      </w:pPr>
      <w:r>
        <w:rPr>
          <w:rFonts w:ascii="Calibri" w:hAnsi="Calibri"/>
          <w:b/>
          <w:color w:val="1F2937"/>
          <w:sz w:val="27"/>
        </w:rPr>
        <w:t>3. Actividades realizadas en el repositorio</w:t>
      </w:r>
    </w:p>
    <w:p>
      <w:pPr>
        <w:keepNext/>
        <w:spacing w:before="160" w:after="60"/>
      </w:pPr>
      <w:r>
        <w:rPr>
          <w:rFonts w:ascii="Calibri" w:hAnsi="Calibri"/>
          <w:b/>
          <w:color w:val="111827"/>
          <w:sz w:val="21"/>
        </w:rPr>
        <w:t>Ejercicios de introducción (carpeta 02-intro-vue)</w:t>
      </w:r>
    </w:p>
    <w:p>
      <w:pPr>
        <w:spacing w:before="0" w:after="60" w:line="276" w:lineRule="auto"/>
        <w:ind w:left="288" w:hanging="216"/>
      </w:pPr>
      <w:r>
        <w:rPr>
          <w:b/>
          <w:color w:val="4F46E5"/>
        </w:rPr>
        <w:t xml:space="preserve">• </w:t>
      </w:r>
      <w:r>
        <w:rPr>
          <w:b/>
          <w:color w:val="1F2937"/>
        </w:rPr>
        <w:t xml:space="preserve">intro: </w:t>
      </w:r>
      <w:r>
        <w:rPr>
          <w:color w:val="374151"/>
        </w:rPr>
        <w:t>primera aplicación en Vue 3 con CDN. Uso de createApp, ref y gestión reactiva de eventos con botones que mutan datos en pantalla.</w:t>
      </w:r>
    </w:p>
    <w:p>
      <w:pPr>
        <w:spacing w:before="0" w:after="60" w:line="276" w:lineRule="auto"/>
        <w:ind w:left="288" w:hanging="216"/>
      </w:pPr>
      <w:r>
        <w:rPr>
          <w:b/>
          <w:color w:val="4F46E5"/>
        </w:rPr>
        <w:t xml:space="preserve">• </w:t>
      </w:r>
      <w:r>
        <w:rPr>
          <w:b/>
          <w:color w:val="1F2937"/>
        </w:rPr>
        <w:t xml:space="preserve">vif: </w:t>
      </w:r>
      <w:r>
        <w:rPr>
          <w:color w:val="374151"/>
        </w:rPr>
        <w:t>aplicación interactiva de citas de Batman. Renderizado iterativo de listas mediante v-for, lógica condicional con v-if/v-else, y enlace bidireccional con v-model para añadir elementos.</w:t>
      </w:r>
    </w:p>
    <w:p>
      <w:pPr>
        <w:keepNext/>
        <w:spacing w:before="160" w:after="60"/>
      </w:pPr>
      <w:r>
        <w:rPr>
          <w:rFonts w:ascii="Calibri" w:hAnsi="Calibri"/>
          <w:b/>
          <w:color w:val="111827"/>
          <w:sz w:val="21"/>
        </w:rPr>
        <w:t>Aplicación indecision-app (Vue 3 + Vite + TypeScript + Tailwind CSS)</w:t>
      </w:r>
    </w:p>
    <w:p>
      <w:pPr>
        <w:spacing w:before="0" w:after="60" w:line="276" w:lineRule="auto"/>
        <w:ind w:left="288" w:hanging="216"/>
      </w:pPr>
      <w:r>
        <w:rPr>
          <w:b/>
          <w:color w:val="4F46E5"/>
        </w:rPr>
        <w:t xml:space="preserve">• </w:t>
      </w:r>
      <w:r>
        <w:rPr>
          <w:b/>
          <w:color w:val="1F2937"/>
        </w:rPr>
        <w:t xml:space="preserve">Componentes y reactividad (Fase Contador): </w:t>
      </w:r>
      <w:r>
        <w:rPr>
          <w:color w:val="374151"/>
        </w:rPr>
        <w:t>desarrollo de tres variantes de componentes (&lt;script setup&gt;, Options API con defineComponent, y lógica separada en archivo .ts). Creación del composable useCounter para desacoplar el estado y cálculo de valores computados (squareCounter), con props tipadas y estilos mediante Tailwind CSS 4.</w:t>
      </w:r>
    </w:p>
    <w:p>
      <w:pPr>
        <w:spacing w:before="0" w:after="60" w:line="276" w:lineRule="auto"/>
        <w:ind w:left="288" w:hanging="216"/>
      </w:pPr>
      <w:r>
        <w:rPr>
          <w:b/>
          <w:color w:val="4F46E5"/>
        </w:rPr>
        <w:t xml:space="preserve">• </w:t>
      </w:r>
      <w:r>
        <w:rPr>
          <w:b/>
          <w:color w:val="1F2937"/>
        </w:rPr>
        <w:t xml:space="preserve">Módulo de Chat e Interacción Asíncrona (Sección 5): </w:t>
      </w:r>
      <w:r>
        <w:rPr>
          <w:color w:val="374151"/>
        </w:rPr>
        <w:t>construcción de la vista IndecisionView junto a los componentes modulares ChatMessages, ChatBubble y MessageBox. Manejo de emisiones de eventos tipadas con defineEmits y captura de teclado (Enter).</w:t>
      </w:r>
    </w:p>
    <w:p>
      <w:pPr>
        <w:spacing w:before="0" w:after="60" w:line="276" w:lineRule="auto"/>
        <w:ind w:left="288" w:hanging="216"/>
      </w:pPr>
      <w:r>
        <w:rPr>
          <w:b/>
          <w:color w:val="4F46E5"/>
        </w:rPr>
        <w:t xml:space="preserve">• </w:t>
      </w:r>
      <w:r>
        <w:rPr>
          <w:b/>
          <w:color w:val="1F2937"/>
        </w:rPr>
        <w:t xml:space="preserve">Composable useChat: </w:t>
      </w:r>
      <w:r>
        <w:rPr>
          <w:color w:val="374151"/>
        </w:rPr>
        <w:t>centralización del estado del historial de mensajes, desplazamiento automático de scroll mediante observadores reactivos y template refs (scrollTo), y consumo asíncrono de la API pública YesNo (https://yesno.wtf/api) con fetch nativo y retraso controlado (sleep) para responder automáticamente preguntas de si/no con animaciones GIF.</w:t>
      </w:r>
    </w:p>
    <w:p>
      <w:pPr>
        <w:spacing w:before="0" w:after="60" w:line="276" w:lineRule="auto"/>
        <w:ind w:left="288" w:hanging="216"/>
      </w:pPr>
      <w:r>
        <w:rPr>
          <w:b/>
          <w:color w:val="4F46E5"/>
        </w:rPr>
        <w:t xml:space="preserve">• </w:t>
      </w:r>
      <w:r>
        <w:rPr>
          <w:b/>
          <w:color w:val="1F2937"/>
        </w:rPr>
        <w:t xml:space="preserve">Suite de Testing Unitario e Integración con Vitest (Sección 6): </w:t>
      </w:r>
      <w:r>
        <w:rPr>
          <w:color w:val="374151"/>
        </w:rPr>
        <w:t>configuración completa de Vitest, JSDOM y @vue/test-utils. Pruebas unitarias sobre helpers (sum), composables aislados (useCounter, useChat) y componentes individuales (MyCounter, ChatBubble, MessageBox, ChatMessages). Mocking de la Fetch API nativa (vi.stubGlobal), verificación de emisión de eventos, validación de renderizado condicional, pruebas de integración sobre IndecisionView y generación de reportes de cobertura (@vitest/coverage-v8).</w:t>
      </w:r>
    </w:p>
    <w:p>
      <w:pPr>
        <w:keepNext/>
        <w:spacing w:before="160" w:after="60"/>
      </w:pPr>
      <w:r>
        <w:rPr>
          <w:rFonts w:ascii="Calibri" w:hAnsi="Calibri"/>
          <w:b/>
          <w:color w:val="111827"/>
          <w:sz w:val="21"/>
        </w:rPr>
        <w:t>Aplicación pokemon-game (Vue 3 + Vite + TypeScript + PokeAPI + Vitest)</w:t>
      </w:r>
    </w:p>
    <w:p>
      <w:pPr>
        <w:spacing w:before="0" w:after="60" w:line="276" w:lineRule="auto"/>
        <w:ind w:left="288" w:hanging="216"/>
      </w:pPr>
      <w:r>
        <w:rPr>
          <w:b/>
          <w:color w:val="4F46E5"/>
        </w:rPr>
        <w:t xml:space="preserve">• </w:t>
      </w:r>
      <w:r>
        <w:rPr>
          <w:b/>
          <w:color w:val="1F2937"/>
        </w:rPr>
        <w:t xml:space="preserve">Arquitectura del Juego (Sección 7): </w:t>
      </w:r>
      <w:r>
        <w:rPr>
          <w:color w:val="374151"/>
        </w:rPr>
        <w:t>creación y configuración de un nuevo proyecto SPA con Vite y Tailwind CSS 4. Integración de cliente HTTP con Axios (pokemonApi) para consultar PokeAPI, con tipado TypeScript riguroso de interfaces y enumeraciones (GameStatus, Pokemon, PokemonListResponse).</w:t>
      </w:r>
    </w:p>
    <w:p>
      <w:pPr>
        <w:spacing w:before="0" w:after="60" w:line="276" w:lineRule="auto"/>
        <w:ind w:left="288" w:hanging="216"/>
      </w:pPr>
      <w:r>
        <w:rPr>
          <w:b/>
          <w:color w:val="4F46E5"/>
        </w:rPr>
        <w:t xml:space="preserve">• </w:t>
      </w:r>
      <w:r>
        <w:rPr>
          <w:b/>
          <w:color w:val="1F2937"/>
        </w:rPr>
        <w:t xml:space="preserve">Lógica de Negocio y Composables: </w:t>
      </w:r>
      <w:r>
        <w:rPr>
          <w:color w:val="374151"/>
        </w:rPr>
        <w:t>implementación de usePokemonGame para coordinar el ciclo del juego: extracción aleatoria de 4 Pokémon, determinación del Pokémon correcto a adivinar, y validación de respuestas (checkAnswer) con transición a estados Ganó (Won) o Perdió (Lost). Integración de efectos festivos de confeti visual mediante canvas-confetti.</w:t>
      </w:r>
    </w:p>
    <w:p>
      <w:pPr>
        <w:spacing w:before="0" w:after="60" w:line="276" w:lineRule="auto"/>
        <w:ind w:left="288" w:hanging="216"/>
      </w:pPr>
      <w:r>
        <w:rPr>
          <w:b/>
          <w:color w:val="4F46E5"/>
        </w:rPr>
        <w:t xml:space="preserve">• </w:t>
      </w:r>
      <w:r>
        <w:rPr>
          <w:b/>
          <w:color w:val="1F2937"/>
        </w:rPr>
        <w:t xml:space="preserve">Componentes Interactivos: </w:t>
      </w:r>
      <w:r>
        <w:rPr>
          <w:color w:val="374151"/>
        </w:rPr>
        <w:t>PokemonPicture.vue para renderizado de la imagen oficial del Pokémon aplicando un filtro CSS de silueta negra (brightness(0)) que se descubre progresivamente al responder, y PokemonOptions.vue con botones dinámicos que se bloquean tras seleccionar y aplican estilos semánticos de acierto o error.</w:t>
      </w:r>
    </w:p>
    <w:p>
      <w:pPr>
        <w:spacing w:before="0" w:after="60" w:line="276" w:lineRule="auto"/>
        <w:ind w:left="288" w:hanging="216"/>
      </w:pPr>
      <w:r>
        <w:rPr>
          <w:b/>
          <w:color w:val="4F46E5"/>
        </w:rPr>
        <w:t xml:space="preserve">• </w:t>
      </w:r>
      <w:r>
        <w:rPr>
          <w:b/>
          <w:color w:val="1F2937"/>
        </w:rPr>
        <w:t xml:space="preserve">Testing Integral con Vitest y Mocking Avanzado (Sección 8): </w:t>
      </w:r>
      <w:r>
        <w:rPr>
          <w:color w:val="374151"/>
        </w:rPr>
        <w:t>diseño de una suite completa de 9 archivos de prueba (23 tests aprobados). Mocking de peticiones de red mediante axios-mock-adapter para simular respuestas de PokeAPI sin depender de conexión externa. Mocking del módulo canvas-confetti. Implementación del helper withSetup para probar composables en el contexto del ciclo de vida de Vue. Pruebas de integración completas en la vista PokemonGame.vue evaluando estados de carga inicial, jugabilidad activa, victoria, derrota y reinicio del juego.</w:t>
      </w:r>
    </w:p>
    <w:p>
      <w:pPr>
        <w:keepNext/>
        <w:spacing w:before="160" w:after="60"/>
      </w:pPr>
      <w:r>
        <w:rPr>
          <w:rFonts w:ascii="Calibri" w:hAnsi="Calibri"/>
          <w:b/>
          <w:color w:val="111827"/>
          <w:sz w:val="21"/>
        </w:rPr>
        <w:t>Aplicación vue-spa (Vue 3 + Vite + TypeScript + Vue Router - Sección 9, hasta lección 129)</w:t>
      </w:r>
    </w:p>
    <w:p>
      <w:pPr>
        <w:spacing w:before="0" w:after="60" w:line="276" w:lineRule="auto"/>
        <w:ind w:left="288" w:hanging="216"/>
      </w:pPr>
      <w:r>
        <w:rPr>
          <w:b/>
          <w:color w:val="4F46E5"/>
        </w:rPr>
        <w:t xml:space="preserve">• </w:t>
      </w:r>
      <w:r>
        <w:rPr>
          <w:b/>
          <w:color w:val="1F2937"/>
        </w:rPr>
        <w:t xml:space="preserve">Configuración de Vue Router: </w:t>
      </w:r>
      <w:r>
        <w:rPr>
          <w:color w:val="374151"/>
        </w:rPr>
        <w:t>inicialización de vue-router v4 utilizando createRouter y createWebHashHistory para navegación fluida sin recargas de página en el navegador.</w:t>
      </w:r>
    </w:p>
    <w:p>
      <w:pPr>
        <w:spacing w:before="0" w:after="60" w:line="276" w:lineRule="auto"/>
        <w:ind w:left="288" w:hanging="216"/>
      </w:pPr>
      <w:r>
        <w:rPr>
          <w:b/>
          <w:color w:val="4F46E5"/>
        </w:rPr>
        <w:t xml:space="preserve">• </w:t>
      </w:r>
      <w:r>
        <w:rPr>
          <w:b/>
          <w:color w:val="1F2937"/>
        </w:rPr>
        <w:t xml:space="preserve">Arquitectura Modular y Layouts Jerárquicos: </w:t>
      </w:r>
      <w:r>
        <w:rPr>
          <w:color w:val="374151"/>
        </w:rPr>
        <w:t>división del proyecto en módulos desacoplados: LandingLayout (con navegación global, pie de página e inyección de vistas secundarias mediante &lt;RouterView /&gt;), AuthLayout (pantalla dividida orientada a formularios de acceso), y Common (NotFound404.vue con comodín de ruta /:pathMatch(.*)* para captura de enlaces inexistentes).</w:t>
      </w:r>
    </w:p>
    <w:p>
      <w:pPr>
        <w:spacing w:before="0" w:after="60" w:line="276" w:lineRule="auto"/>
        <w:ind w:left="288" w:hanging="216"/>
      </w:pPr>
      <w:r>
        <w:rPr>
          <w:b/>
          <w:color w:val="4F46E5"/>
        </w:rPr>
        <w:t xml:space="preserve">• </w:t>
      </w:r>
      <w:r>
        <w:rPr>
          <w:b/>
          <w:color w:val="1F2937"/>
        </w:rPr>
        <w:t xml:space="preserve">Páginas Landing y Auth: </w:t>
      </w:r>
      <w:r>
        <w:rPr>
          <w:color w:val="374151"/>
        </w:rPr>
        <w:t>maquetación responsive de HomePage, FeaturesPage, PricingPage y ContactPage (con mapas embebidos y componentes Tailwind), así como las vistas LoginPage y RegisterPage con redirección automática desde /auth.</w:t>
      </w:r>
    </w:p>
    <w:p>
      <w:pPr>
        <w:spacing w:before="0" w:after="60" w:line="276" w:lineRule="auto"/>
        <w:ind w:left="288" w:hanging="216"/>
      </w:pPr>
      <w:r>
        <w:rPr>
          <w:b/>
          <w:color w:val="4F46E5"/>
        </w:rPr>
        <w:t xml:space="preserve">• </w:t>
      </w:r>
      <w:r>
        <w:rPr>
          <w:b/>
          <w:color w:val="1F2937"/>
        </w:rPr>
        <w:t xml:space="preserve">Rutas Dinámicas y Argumentos Tipados por URL (Lecciones 128 - 129): </w:t>
      </w:r>
      <w:r>
        <w:rPr>
          <w:color w:val="374151"/>
        </w:rPr>
        <w:t>configuración de la ruta /pokemon/:id. Implementación de la función props en la definición de la ruta para convertir y desacoplar los parámetros de la URL ({ id: Number(route.params.id) }). Creación del componente PokemonPage.vue con defineProps&lt;{ id: number }&gt;(), renderizado reactivo del sprite SVG de PokeAPI según el ID recibido y enlaces declarativos con RouterLink para navegar dinámicamente al siguiente Pokémon de la lista.</w:t>
      </w:r>
    </w:p>
    <w:p>
      <w:pPr>
        <w:keepNext/>
        <w:spacing w:before="260" w:after="80"/>
      </w:pPr>
      <w:r>
        <w:rPr>
          <w:rFonts w:ascii="Calibri" w:hAnsi="Calibri"/>
          <w:b/>
          <w:color w:val="1F2937"/>
          <w:sz w:val="27"/>
        </w:rPr>
        <w:t>4. Despliegue y repositorio</w:t>
      </w:r>
    </w:p>
    <w:p>
      <w:pPr>
        <w:spacing w:before="0" w:after="60" w:line="276" w:lineRule="auto"/>
      </w:pPr>
      <w:r>
        <w:rPr>
          <w:b/>
          <w:color w:val="4F46E5"/>
        </w:rPr>
        <w:t xml:space="preserve">• </w:t>
      </w:r>
      <w:r>
        <w:rPr>
          <w:b/>
          <w:color w:val="1F2937"/>
        </w:rPr>
        <w:t xml:space="preserve">Despliegue en producción (Netlify): </w:t>
      </w:r>
      <w:r>
        <w:t xml:space="preserve">La aplicación indecision-app se encuentra compilada y desplegada activamente en Netlify: </w:t>
      </w:r>
      <w:hyperlink r:id="rId9">
        <w:r>
          <w:rPr>
            <w:rStyle w:val="Hyperlink"/>
            <w:color w:val="2563EB"/>
            <w:u w:val="single"/>
          </w:rPr>
          <w:t>https://aesthetic-clafoutis-405000.netlify.app</w:t>
        </w:r>
      </w:hyperlink>
    </w:p>
    <w:p>
      <w:pPr>
        <w:spacing w:before="0" w:after="80" w:line="276" w:lineRule="auto"/>
      </w:pPr>
      <w:r>
        <w:rPr>
          <w:b/>
          <w:color w:val="4F46E5"/>
        </w:rPr>
        <w:t xml:space="preserve">• </w:t>
      </w:r>
      <w:r>
        <w:rPr>
          <w:b/>
          <w:color w:val="1F2937"/>
        </w:rPr>
        <w:t xml:space="preserve">Código fuente en GitHub: </w:t>
      </w:r>
      <w:r>
        <w:t xml:space="preserve">Todos los proyectos, módulos, configuraciones y suites de pruebas unitarias están disponibles y versionados en: </w:t>
      </w:r>
      <w:hyperlink r:id="rId10">
        <w:r>
          <w:rPr>
            <w:rStyle w:val="Hyperlink"/>
            <w:color w:val="2563EB"/>
            <w:u w:val="single"/>
          </w:rPr>
          <w:t>https://github.com/LuisFer237/vue</w:t>
        </w:r>
      </w:hyperlink>
    </w:p>
    <w:p>
      <w:pPr>
        <w:spacing w:before="0" w:after="80" w:line="276" w:lineRule="auto"/>
      </w:pPr>
      <w:r>
        <w:rPr>
          <w:color w:val="374151"/>
        </w:rPr>
        <w:t>El repositorio se mantiene bajo una estructura monorrepo limpia y escalable, donde cada aplicación cuenta con su propio package.json, configuración de Vite, TypeScript, reglas de linter y suites de pruebas independientes.</w:t>
      </w:r>
    </w:p>
    <w:p>
      <w:pPr>
        <w:keepNext/>
        <w:spacing w:before="260" w:after="80"/>
      </w:pPr>
      <w:r>
        <w:rPr>
          <w:rFonts w:ascii="Calibri" w:hAnsi="Calibri"/>
          <w:b/>
          <w:color w:val="1F2937"/>
          <w:sz w:val="27"/>
        </w:rPr>
        <w:t>5. Conceptos practicados</w:t>
      </w:r>
    </w:p>
    <w:p>
      <w:pPr>
        <w:spacing w:before="0" w:after="60" w:line="276" w:lineRule="auto"/>
        <w:ind w:left="288" w:hanging="216"/>
      </w:pPr>
      <w:r>
        <w:rPr>
          <w:b/>
          <w:color w:val="4F46E5"/>
        </w:rPr>
        <w:t xml:space="preserve">• </w:t>
      </w:r>
      <w:r>
        <w:rPr>
          <w:b/>
          <w:color w:val="1F2937"/>
        </w:rPr>
        <w:t xml:space="preserve">Reactividad y Composition API: </w:t>
      </w:r>
      <w:r>
        <w:rPr>
          <w:color w:val="374151"/>
        </w:rPr>
        <w:t>ref, reactive, computed, watch, template refs para manipulación del DOM, y hooks de ciclo de vida (onMounted).</w:t>
      </w:r>
    </w:p>
    <w:p>
      <w:pPr>
        <w:spacing w:before="0" w:after="60" w:line="276" w:lineRule="auto"/>
        <w:ind w:left="288" w:hanging="216"/>
      </w:pPr>
      <w:r>
        <w:rPr>
          <w:b/>
          <w:color w:val="4F46E5"/>
        </w:rPr>
        <w:t xml:space="preserve">• </w:t>
      </w:r>
      <w:r>
        <w:rPr>
          <w:b/>
          <w:color w:val="1F2937"/>
        </w:rPr>
        <w:t xml:space="preserve">Composables Reutilizables: </w:t>
      </w:r>
      <w:r>
        <w:rPr>
          <w:color w:val="374151"/>
        </w:rPr>
        <w:t>abstracción y encapsulación de lógica de estado en useCounter, useChat y usePokemonGame.</w:t>
      </w:r>
    </w:p>
    <w:p>
      <w:pPr>
        <w:spacing w:before="0" w:after="60" w:line="276" w:lineRule="auto"/>
        <w:ind w:left="288" w:hanging="216"/>
      </w:pPr>
      <w:r>
        <w:rPr>
          <w:b/>
          <w:color w:val="4F46E5"/>
        </w:rPr>
        <w:t xml:space="preserve">• </w:t>
      </w:r>
      <w:r>
        <w:rPr>
          <w:b/>
          <w:color w:val="1F2937"/>
        </w:rPr>
        <w:t xml:space="preserve">Arquitectura de Componentes (SFC): </w:t>
      </w:r>
      <w:r>
        <w:rPr>
          <w:color w:val="374151"/>
        </w:rPr>
        <w:t>uso de &lt;script setup lang="ts"&gt;, comunicación padre-hijo mediante defineProps fuertemente tipadas y emisión de eventos con defineEmits.</w:t>
      </w:r>
    </w:p>
    <w:p>
      <w:pPr>
        <w:spacing w:before="0" w:after="60" w:line="276" w:lineRule="auto"/>
        <w:ind w:left="288" w:hanging="216"/>
      </w:pPr>
      <w:r>
        <w:rPr>
          <w:b/>
          <w:color w:val="4F46E5"/>
        </w:rPr>
        <w:t xml:space="preserve">• </w:t>
      </w:r>
      <w:r>
        <w:rPr>
          <w:b/>
          <w:color w:val="1F2937"/>
        </w:rPr>
        <w:t xml:space="preserve">Consumo de APIs y Programación Asíncrona: </w:t>
      </w:r>
      <w:r>
        <w:rPr>
          <w:color w:val="374151"/>
        </w:rPr>
        <w:t>peticiones HTTP nativas con fetch y estructuradas con Axios, modelado de contratos de respuesta con interfaces y enums de TypeScript, manejo de estados de carga (isLoading) y retardos con sleep.</w:t>
      </w:r>
    </w:p>
    <w:p>
      <w:pPr>
        <w:spacing w:before="0" w:after="60" w:line="276" w:lineRule="auto"/>
        <w:ind w:left="288" w:hanging="216"/>
      </w:pPr>
      <w:r>
        <w:rPr>
          <w:b/>
          <w:color w:val="4F46E5"/>
        </w:rPr>
        <w:t xml:space="preserve">• </w:t>
      </w:r>
      <w:r>
        <w:rPr>
          <w:b/>
          <w:color w:val="1F2937"/>
        </w:rPr>
        <w:t xml:space="preserve">Pruebas Unitarias y de Integración con Vitest: </w:t>
      </w:r>
      <w:r>
        <w:rPr>
          <w:color w:val="374151"/>
        </w:rPr>
        <w:t>configuración de Vitest con JSDOM y @vue/test-utils, snapshot testing, simulación de eventos de usuario (trigger), y análisis de cobertura de código.</w:t>
      </w:r>
    </w:p>
    <w:p>
      <w:pPr>
        <w:spacing w:before="0" w:after="60" w:line="276" w:lineRule="auto"/>
        <w:ind w:left="288" w:hanging="216"/>
      </w:pPr>
      <w:r>
        <w:rPr>
          <w:b/>
          <w:color w:val="4F46E5"/>
        </w:rPr>
        <w:t xml:space="preserve">• </w:t>
      </w:r>
      <w:r>
        <w:rPr>
          <w:b/>
          <w:color w:val="1F2937"/>
        </w:rPr>
        <w:t xml:space="preserve">Técnicas Avanzadas de Mocking y Testing Asíncrono: </w:t>
      </w:r>
      <w:r>
        <w:rPr>
          <w:color w:val="374151"/>
        </w:rPr>
        <w:t>mocking global de Fetch API, interceptación HTTP con axios-mock-adapter, mocking de módulos externos (canvas-confetti), resolución de microtareas asíncronas con flushPromises, y ejecución de composables con el patrón withSetup.</w:t>
      </w:r>
    </w:p>
    <w:p>
      <w:pPr>
        <w:spacing w:before="0" w:after="60" w:line="276" w:lineRule="auto"/>
        <w:ind w:left="288" w:hanging="216"/>
      </w:pPr>
      <w:r>
        <w:rPr>
          <w:b/>
          <w:color w:val="4F46E5"/>
        </w:rPr>
        <w:t xml:space="preserve">• </w:t>
      </w:r>
      <w:r>
        <w:rPr>
          <w:b/>
          <w:color w:val="1F2937"/>
        </w:rPr>
        <w:t xml:space="preserve">Enrutamiento SPA con Vue Router: </w:t>
      </w:r>
      <w:r>
        <w:rPr>
          <w:color w:val="374151"/>
        </w:rPr>
        <w:t>configuración de createRouter y createWebHashHistory, enrutamiento anidado con layouts y &lt;RouterView /&gt;, navegación declarativa mediante RouterLink y router.push programático.</w:t>
      </w:r>
    </w:p>
    <w:p>
      <w:pPr>
        <w:spacing w:before="0" w:after="60" w:line="276" w:lineRule="auto"/>
        <w:ind w:left="288" w:hanging="216"/>
      </w:pPr>
      <w:r>
        <w:rPr>
          <w:b/>
          <w:color w:val="4F46E5"/>
        </w:rPr>
        <w:t xml:space="preserve">• </w:t>
      </w:r>
      <w:r>
        <w:rPr>
          <w:b/>
          <w:color w:val="1F2937"/>
        </w:rPr>
        <w:t xml:space="preserve">Manejo de Parámetros de Ruta: </w:t>
      </w:r>
      <w:r>
        <w:rPr>
          <w:color w:val="374151"/>
        </w:rPr>
        <w:t>segmentos dinámicos en URL (/pokemon/:id), desacoplamiento de vistas mediante el casteo de parámetros de ruta a props del componente.</w:t>
      </w:r>
    </w:p>
    <w:p>
      <w:pPr>
        <w:spacing w:before="0" w:after="60" w:line="276" w:lineRule="auto"/>
        <w:ind w:left="288" w:hanging="216"/>
      </w:pPr>
      <w:r>
        <w:rPr>
          <w:b/>
          <w:color w:val="4F46E5"/>
        </w:rPr>
        <w:t xml:space="preserve">• </w:t>
      </w:r>
      <w:r>
        <w:rPr>
          <w:b/>
          <w:color w:val="1F2937"/>
        </w:rPr>
        <w:t xml:space="preserve">Gestión de Errores y Navegación: </w:t>
      </w:r>
      <w:r>
        <w:rPr>
          <w:color w:val="374151"/>
        </w:rPr>
        <w:t>redirecciones de rutas (redirect) y captura universal de rutas inexistentes (404 Not Found) mediante comodines con expresiones regulares.</w:t>
      </w:r>
    </w:p>
    <w:p>
      <w:pPr>
        <w:spacing w:before="0" w:after="60" w:line="276" w:lineRule="auto"/>
        <w:ind w:left="288" w:hanging="216"/>
      </w:pPr>
      <w:r>
        <w:rPr>
          <w:b/>
          <w:color w:val="4F46E5"/>
        </w:rPr>
        <w:t xml:space="preserve">• </w:t>
      </w:r>
      <w:r>
        <w:rPr>
          <w:b/>
          <w:color w:val="1F2937"/>
        </w:rPr>
        <w:t xml:space="preserve">Estilizado y Experiencia de Usuario: </w:t>
      </w:r>
      <w:r>
        <w:rPr>
          <w:color w:val="374151"/>
        </w:rPr>
        <w:t>Tailwind CSS 4 (@tailwindcss/vite), transiciones y efectos visuales de silueta con CSS (brightness, blur), scroll automático programático y feedback interactivo inmediato.</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esthetic-clafoutis-405000.netlify.app" TargetMode="External"/><Relationship Id="rId10" Type="http://schemas.openxmlformats.org/officeDocument/2006/relationships/hyperlink" Target="https://github.com/LuisFer237/v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