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rFonts w:ascii="Times New Roman" w:hAnsi="Times New Roman" w:eastAsia="Times New Roman"/>
          <w:b/>
          <w:sz w:val="28"/>
        </w:rPr>
        <w:t>Medición de Logros y Resultados – Fase 2</w:t>
      </w:r>
    </w:p>
    <w:p/>
    <w:p>
      <w:r>
        <w:rPr>
          <w:rFonts w:ascii="Times New Roman" w:hAnsi="Times New Roman" w:eastAsia="Times New Roman"/>
          <w:b/>
          <w:sz w:val="24"/>
        </w:rPr>
        <w:t>Alcance de la Medición</w:t>
      </w:r>
    </w:p>
    <w:p>
      <w:r>
        <w:rPr>
          <w:rFonts w:ascii="Times New Roman" w:hAnsi="Times New Roman" w:eastAsia="Times New Roman"/>
          <w:sz w:val="24"/>
        </w:rPr>
        <w:t>En la Fase 1 se definieron cinco indicadores clave sin datos reales. En esta fase se cuenta con operaciones registradas en Odoo 16 que permiten medir por primera vez el desempeño de los procesos implementados:</w:t>
      </w:r>
    </w:p>
    <w:p>
      <w:r>
        <w:rPr>
          <w:rFonts w:ascii="Times New Roman" w:hAnsi="Times New Roman" w:eastAsia="Times New Roman"/>
          <w:sz w:val="24"/>
        </w:rPr>
        <w:t>• Carga de datos maestros: 30 productos, 6 proveedores y 7 clientes.</w:t>
      </w:r>
    </w:p>
    <w:p>
      <w:r>
        <w:rPr>
          <w:rFonts w:ascii="Times New Roman" w:hAnsi="Times New Roman" w:eastAsia="Times New Roman"/>
          <w:sz w:val="24"/>
        </w:rPr>
        <w:t>• Compras a proveedores: 3 órdenes por Q 17,090.00, con 44 unidades recibidas en bodega.</w:t>
      </w:r>
    </w:p>
    <w:p>
      <w:r>
        <w:rPr>
          <w:rFonts w:ascii="Times New Roman" w:hAnsi="Times New Roman" w:eastAsia="Times New Roman"/>
          <w:sz w:val="24"/>
        </w:rPr>
        <w:t>• Ventas: 2 cotizaciones convertidas en pedido por Q 10,540.00, una entrega despachada y una factura publicada.</w:t>
      </w:r>
    </w:p>
    <w:p>
      <w:r>
        <w:rPr>
          <w:rFonts w:ascii="Times New Roman" w:hAnsi="Times New Roman" w:eastAsia="Times New Roman"/>
          <w:sz w:val="24"/>
        </w:rPr>
        <w:t>• Reabastecimiento: una alerta de stock bajo atendida con la orden de reposición P00028.</w:t>
      </w:r>
    </w:p>
    <w:p>
      <w:r>
        <w:rPr>
          <w:rFonts w:ascii="Times New Roman" w:hAnsi="Times New Roman" w:eastAsia="Times New Roman"/>
          <w:b/>
          <w:sz w:val="24"/>
        </w:rPr>
        <w:t>¿Cómo se medirán los objetivos específicos?</w:t>
      </w:r>
    </w:p>
    <w:p>
      <w:r>
        <w:rPr>
          <w:rFonts w:ascii="Times New Roman" w:hAnsi="Times New Roman" w:eastAsia="Times New Roman"/>
          <w:sz w:val="24"/>
        </w:rPr>
        <w:t>Cada objetivo se mide contrastando la meta planteada con los registros del ERP. La puesta en marcha del catálogo se verifica con el número de productos activos con costo, precio, imagen y existencias (30 de 30). La operación comercial se mide con las cotizaciones emitidas y convertidas en pedido, y el abastecimiento con las órdenes de compra recibidas y las alertas de reposición atendidas.</w:t>
      </w:r>
    </w:p>
    <w:p>
      <w:r>
        <w:rPr>
          <w:rFonts w:ascii="Times New Roman" w:hAnsi="Times New Roman" w:eastAsia="Times New Roman"/>
          <w:b/>
          <w:sz w:val="24"/>
        </w:rPr>
        <w:t>¿De qué manera se evaluará la ejecución de las actividades?</w:t>
      </w:r>
    </w:p>
    <w:p>
      <w:r>
        <w:rPr>
          <w:rFonts w:ascii="Times New Roman" w:hAnsi="Times New Roman" w:eastAsia="Times New Roman"/>
          <w:sz w:val="24"/>
        </w:rPr>
        <w:t>Se evalúa con el estado de cada documento dentro de su flujo. En compras: Requisición, Solicitud de presupuesto, Orden de compra y Recepción. En ventas: Presupuesto, Pedido de venta, Entrega y Factura. Cada cambio de estado queda registrado con fecha, hora y usuario en el historial del documento.</w:t>
      </w:r>
    </w:p>
    <w:p>
      <w:r>
        <w:rPr>
          <w:rFonts w:ascii="Times New Roman" w:hAnsi="Times New Roman" w:eastAsia="Times New Roman"/>
          <w:b/>
          <w:sz w:val="24"/>
        </w:rPr>
        <w:t>¿Cuáles serán los métodos para verificar el avance del proyecto?</w:t>
      </w:r>
    </w:p>
    <w:p>
      <w:r>
        <w:rPr>
          <w:rFonts w:ascii="Times New Roman" w:hAnsi="Times New Roman" w:eastAsia="Times New Roman"/>
          <w:sz w:val="24"/>
        </w:rPr>
        <w:t>Se utilizan tres métodos: la revisión de los informes del ERP (Stock, Pedidos de compra, Reposición e Historial de movimientos), la conciliación entre lo pedido, lo recibido y lo despachado en cada traslado de almacén, y las capturas de pantalla incluidas en los manuales de usuario de cada proceso.</w:t>
      </w:r>
    </w:p>
    <w:p>
      <w:r>
        <w:rPr>
          <w:rFonts w:ascii="Times New Roman" w:hAnsi="Times New Roman" w:eastAsia="Times New Roman"/>
          <w:b/>
          <w:sz w:val="24"/>
        </w:rPr>
        <w:t>¿Cómo se cuantificarán los beneficios económicos?</w:t>
      </w:r>
    </w:p>
    <w:p>
      <w:r>
        <w:rPr>
          <w:rFonts w:ascii="Times New Roman" w:hAnsi="Times New Roman" w:eastAsia="Times New Roman"/>
          <w:sz w:val="24"/>
        </w:rPr>
        <w:t>Mediante el margen bruto de cada venta (precio facturado menos costo del proveedor), la valorización del inventario disponible (Q 95,015.00 al corte) y la reducción de pérdidas por quiebres de stock, ya que el sistema alerta y genera la reposición antes de agotar un producto comprometido.</w:t>
      </w:r>
    </w:p>
    <w:p>
      <w:r>
        <w:rPr>
          <w:rFonts w:ascii="Times New Roman" w:hAnsi="Times New Roman" w:eastAsia="Times New Roman"/>
          <w:b/>
          <w:sz w:val="24"/>
        </w:rPr>
        <w:t>¿Qué técnicas se emplearán para medir la satisfacción del cliente?</w:t>
      </w:r>
    </w:p>
    <w:p>
      <w:r>
        <w:rPr>
          <w:rFonts w:ascii="Times New Roman" w:hAnsi="Times New Roman" w:eastAsia="Times New Roman"/>
          <w:sz w:val="24"/>
        </w:rPr>
        <w:t>La encuesta CSAT definida en la Fase 1 se aplicará cuando la tienda en línea esté en operación (Fase 3). En esta fase se controlan los factores que la determinan: entrega sin diferencias entre lo cotizado, lo facturado y lo despachado, tiempo de despacho y notificación automática al cliente al enviar su pedido.</w:t>
      </w:r>
    </w:p>
    <w:p>
      <w:r>
        <w:rPr>
          <w:rFonts w:ascii="Times New Roman" w:hAnsi="Times New Roman" w:eastAsia="Times New Roman"/>
          <w:b/>
          <w:sz w:val="24"/>
        </w:rPr>
        <w:t>¿Cómo se evaluará el desempeño de la plataforma?</w:t>
      </w:r>
    </w:p>
    <w:p>
      <w:r>
        <w:rPr>
          <w:rFonts w:ascii="Times New Roman" w:hAnsi="Times New Roman" w:eastAsia="Times New Roman"/>
          <w:sz w:val="24"/>
        </w:rPr>
        <w:t>Por la disponibilidad del servidor Odoo en Docker durante las pruebas y por la integridad de las transacciones: ninguna venta o compra confirmada quedó sin su movimiento de inventario correspondiente.</w:t>
      </w:r>
    </w:p>
    <w:p>
      <w:r>
        <w:rPr>
          <w:rFonts w:ascii="Times New Roman" w:hAnsi="Times New Roman" w:eastAsia="Times New Roman"/>
          <w:b/>
          <w:sz w:val="24"/>
        </w:rPr>
        <w:t>Evaluación de los KPIs Definidos en la Fase 1</w:t>
      </w:r>
    </w:p>
    <w:p>
      <w:r>
        <w:rPr>
          <w:rFonts w:ascii="Times New Roman" w:hAnsi="Times New Roman" w:eastAsia="Times New Roman"/>
          <w:sz w:val="24"/>
        </w:rPr>
        <w:t>La siguiente tabla compara la meta de cada indicador con el resultado obtenido en esta fase:</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09"/>
        <w:gridCol w:w="2209"/>
        <w:gridCol w:w="2209"/>
        <w:gridCol w:w="2209"/>
      </w:tblGrid>
      <w:tr>
        <w:tc>
          <w:tcPr>
            <w:tcW w:type="dxa" w:w="2381"/>
          </w:tcPr>
          <w:p>
            <w:r/>
            <w:r>
              <w:rPr>
                <w:rFonts w:ascii="Times New Roman" w:hAnsi="Times New Roman" w:eastAsia="Times New Roman"/>
                <w:b/>
                <w:sz w:val="20"/>
              </w:rPr>
              <w:t>KPI</w:t>
            </w:r>
          </w:p>
        </w:tc>
        <w:tc>
          <w:tcPr>
            <w:tcW w:type="dxa" w:w="1928"/>
          </w:tcPr>
          <w:p>
            <w:r/>
            <w:r>
              <w:rPr>
                <w:rFonts w:ascii="Times New Roman" w:hAnsi="Times New Roman" w:eastAsia="Times New Roman"/>
                <w:b/>
                <w:sz w:val="20"/>
              </w:rPr>
              <w:t>Meta Fase 1</w:t>
            </w:r>
          </w:p>
        </w:tc>
        <w:tc>
          <w:tcPr>
            <w:tcW w:type="dxa" w:w="3175"/>
          </w:tcPr>
          <w:p>
            <w:r/>
            <w:r>
              <w:rPr>
                <w:rFonts w:ascii="Times New Roman" w:hAnsi="Times New Roman" w:eastAsia="Times New Roman"/>
                <w:b/>
                <w:sz w:val="20"/>
              </w:rPr>
              <w:t>Resultado Fase 2</w:t>
            </w:r>
          </w:p>
        </w:tc>
        <w:tc>
          <w:tcPr>
            <w:tcW w:type="dxa" w:w="1361"/>
          </w:tcPr>
          <w:p>
            <w:r/>
            <w:r>
              <w:rPr>
                <w:rFonts w:ascii="Times New Roman" w:hAnsi="Times New Roman" w:eastAsia="Times New Roman"/>
                <w:b/>
                <w:sz w:val="20"/>
              </w:rPr>
              <w:t>Estado</w:t>
            </w:r>
          </w:p>
        </w:tc>
      </w:tr>
      <w:tr>
        <w:tc>
          <w:tcPr>
            <w:tcW w:type="dxa" w:w="2381"/>
          </w:tcPr>
          <w:p>
            <w:r/>
            <w:r>
              <w:rPr>
                <w:rFonts w:ascii="Times New Roman" w:hAnsi="Times New Roman" w:eastAsia="Times New Roman"/>
                <w:sz w:val="20"/>
              </w:rPr>
              <w:t>1. Tasa de conversión de la tienda en línea</w:t>
            </w:r>
          </w:p>
        </w:tc>
        <w:tc>
          <w:tcPr>
            <w:tcW w:type="dxa" w:w="1928"/>
          </w:tcPr>
          <w:p>
            <w:r/>
            <w:r>
              <w:rPr>
                <w:rFonts w:ascii="Times New Roman" w:hAnsi="Times New Roman" w:eastAsia="Times New Roman"/>
                <w:sz w:val="20"/>
              </w:rPr>
              <w:t>2.5 % a 3.0 %</w:t>
            </w:r>
          </w:p>
        </w:tc>
        <w:tc>
          <w:tcPr>
            <w:tcW w:type="dxa" w:w="3175"/>
          </w:tcPr>
          <w:p>
            <w:r/>
            <w:r>
              <w:rPr>
                <w:rFonts w:ascii="Times New Roman" w:hAnsi="Times New Roman" w:eastAsia="Times New Roman"/>
                <w:sz w:val="20"/>
              </w:rPr>
              <w:t>Se mide en Fase 3 (tienda en línea). Indicador de apoyo: 2 de 2 cotizaciones convertidas en pedido (100 %)</w:t>
            </w:r>
          </w:p>
        </w:tc>
        <w:tc>
          <w:tcPr>
            <w:tcW w:type="dxa" w:w="1361"/>
          </w:tcPr>
          <w:p>
            <w:r/>
            <w:r>
              <w:rPr>
                <w:rFonts w:ascii="Times New Roman" w:hAnsi="Times New Roman" w:eastAsia="Times New Roman"/>
                <w:sz w:val="20"/>
              </w:rPr>
              <w:t>En seguimiento</w:t>
            </w:r>
          </w:p>
        </w:tc>
      </w:tr>
      <w:tr>
        <w:tc>
          <w:tcPr>
            <w:tcW w:type="dxa" w:w="2381"/>
          </w:tcPr>
          <w:p>
            <w:r/>
            <w:r>
              <w:rPr>
                <w:rFonts w:ascii="Times New Roman" w:hAnsi="Times New Roman" w:eastAsia="Times New Roman"/>
                <w:sz w:val="20"/>
              </w:rPr>
              <w:t>2. Valor promedio del pedido (AOV)</w:t>
            </w:r>
          </w:p>
        </w:tc>
        <w:tc>
          <w:tcPr>
            <w:tcW w:type="dxa" w:w="1928"/>
          </w:tcPr>
          <w:p>
            <w:r/>
            <w:r>
              <w:rPr>
                <w:rFonts w:ascii="Times New Roman" w:hAnsi="Times New Roman" w:eastAsia="Times New Roman"/>
                <w:sz w:val="20"/>
              </w:rPr>
              <w:t>Q 350.00 individual / Q 2,800.00 corporativo</w:t>
            </w:r>
          </w:p>
        </w:tc>
        <w:tc>
          <w:tcPr>
            <w:tcW w:type="dxa" w:w="3175"/>
          </w:tcPr>
          <w:p>
            <w:r/>
            <w:r>
              <w:rPr>
                <w:rFonts w:ascii="Times New Roman" w:hAnsi="Times New Roman" w:eastAsia="Times New Roman"/>
                <w:sz w:val="20"/>
              </w:rPr>
              <w:t>Q 920.00 individual / Q 9,620.00 corporativo (promedio Q 5,270.00)</w:t>
            </w:r>
          </w:p>
        </w:tc>
        <w:tc>
          <w:tcPr>
            <w:tcW w:type="dxa" w:w="1361"/>
          </w:tcPr>
          <w:p>
            <w:r/>
            <w:r>
              <w:rPr>
                <w:rFonts w:ascii="Times New Roman" w:hAnsi="Times New Roman" w:eastAsia="Times New Roman"/>
                <w:sz w:val="20"/>
              </w:rPr>
              <w:t>Cumplido</w:t>
            </w:r>
          </w:p>
        </w:tc>
      </w:tr>
      <w:tr>
        <w:tc>
          <w:tcPr>
            <w:tcW w:type="dxa" w:w="2381"/>
          </w:tcPr>
          <w:p>
            <w:r/>
            <w:r>
              <w:rPr>
                <w:rFonts w:ascii="Times New Roman" w:hAnsi="Times New Roman" w:eastAsia="Times New Roman"/>
                <w:sz w:val="20"/>
              </w:rPr>
              <w:t>3. Tiempo de cumplimiento y despacho</w:t>
            </w:r>
          </w:p>
        </w:tc>
        <w:tc>
          <w:tcPr>
            <w:tcW w:type="dxa" w:w="1928"/>
          </w:tcPr>
          <w:p>
            <w:r/>
            <w:r>
              <w:rPr>
                <w:rFonts w:ascii="Times New Roman" w:hAnsi="Times New Roman" w:eastAsia="Times New Roman"/>
                <w:sz w:val="20"/>
              </w:rPr>
              <w:t>≤ 48 horas hábiles</w:t>
            </w:r>
          </w:p>
        </w:tc>
        <w:tc>
          <w:tcPr>
            <w:tcW w:type="dxa" w:w="3175"/>
          </w:tcPr>
          <w:p>
            <w:r/>
            <w:r>
              <w:rPr>
                <w:rFonts w:ascii="Times New Roman" w:hAnsi="Times New Roman" w:eastAsia="Times New Roman"/>
                <w:sz w:val="20"/>
              </w:rPr>
              <w:t>2 minutos 7 segundos (S00026)</w:t>
            </w:r>
          </w:p>
        </w:tc>
        <w:tc>
          <w:tcPr>
            <w:tcW w:type="dxa" w:w="1361"/>
          </w:tcPr>
          <w:p>
            <w:r/>
            <w:r>
              <w:rPr>
                <w:rFonts w:ascii="Times New Roman" w:hAnsi="Times New Roman" w:eastAsia="Times New Roman"/>
                <w:sz w:val="20"/>
              </w:rPr>
              <w:t>Cumplido</w:t>
            </w:r>
          </w:p>
        </w:tc>
      </w:tr>
      <w:tr>
        <w:tc>
          <w:tcPr>
            <w:tcW w:type="dxa" w:w="2381"/>
          </w:tcPr>
          <w:p>
            <w:r/>
            <w:r>
              <w:rPr>
                <w:rFonts w:ascii="Times New Roman" w:hAnsi="Times New Roman" w:eastAsia="Times New Roman"/>
                <w:sz w:val="20"/>
              </w:rPr>
              <w:t>4. Exactitud de registros de inventario</w:t>
            </w:r>
          </w:p>
        </w:tc>
        <w:tc>
          <w:tcPr>
            <w:tcW w:type="dxa" w:w="1928"/>
          </w:tcPr>
          <w:p>
            <w:r/>
            <w:r>
              <w:rPr>
                <w:rFonts w:ascii="Times New Roman" w:hAnsi="Times New Roman" w:eastAsia="Times New Roman"/>
                <w:sz w:val="20"/>
              </w:rPr>
              <w:t>≥ 98 %</w:t>
            </w:r>
          </w:p>
        </w:tc>
        <w:tc>
          <w:tcPr>
            <w:tcW w:type="dxa" w:w="3175"/>
          </w:tcPr>
          <w:p>
            <w:r/>
            <w:r>
              <w:rPr>
                <w:rFonts w:ascii="Times New Roman" w:hAnsi="Times New Roman" w:eastAsia="Times New Roman"/>
                <w:sz w:val="20"/>
              </w:rPr>
              <w:t>100 % (30 de 30 productos conciliados)</w:t>
            </w:r>
          </w:p>
        </w:tc>
        <w:tc>
          <w:tcPr>
            <w:tcW w:type="dxa" w:w="1361"/>
          </w:tcPr>
          <w:p>
            <w:r/>
            <w:r>
              <w:rPr>
                <w:rFonts w:ascii="Times New Roman" w:hAnsi="Times New Roman" w:eastAsia="Times New Roman"/>
                <w:sz w:val="20"/>
              </w:rPr>
              <w:t>Cumplido</w:t>
            </w:r>
          </w:p>
        </w:tc>
      </w:tr>
      <w:tr>
        <w:tc>
          <w:tcPr>
            <w:tcW w:type="dxa" w:w="2381"/>
          </w:tcPr>
          <w:p>
            <w:r/>
            <w:r>
              <w:rPr>
                <w:rFonts w:ascii="Times New Roman" w:hAnsi="Times New Roman" w:eastAsia="Times New Roman"/>
                <w:sz w:val="20"/>
              </w:rPr>
              <w:t>5. Satisfacción del cliente (CSAT)</w:t>
            </w:r>
          </w:p>
        </w:tc>
        <w:tc>
          <w:tcPr>
            <w:tcW w:type="dxa" w:w="1928"/>
          </w:tcPr>
          <w:p>
            <w:r/>
            <w:r>
              <w:rPr>
                <w:rFonts w:ascii="Times New Roman" w:hAnsi="Times New Roman" w:eastAsia="Times New Roman"/>
                <w:sz w:val="20"/>
              </w:rPr>
              <w:t>≥ 90 %</w:t>
            </w:r>
          </w:p>
        </w:tc>
        <w:tc>
          <w:tcPr>
            <w:tcW w:type="dxa" w:w="3175"/>
          </w:tcPr>
          <w:p>
            <w:r/>
            <w:r>
              <w:rPr>
                <w:rFonts w:ascii="Times New Roman" w:hAnsi="Times New Roman" w:eastAsia="Times New Roman"/>
                <w:sz w:val="20"/>
              </w:rPr>
              <w:t>Encuesta en Fase 3. Pedidos sin diferencias: 1 de 1 entregado</w:t>
            </w:r>
          </w:p>
        </w:tc>
        <w:tc>
          <w:tcPr>
            <w:tcW w:type="dxa" w:w="1361"/>
          </w:tcPr>
          <w:p>
            <w:r/>
            <w:r>
              <w:rPr>
                <w:rFonts w:ascii="Times New Roman" w:hAnsi="Times New Roman" w:eastAsia="Times New Roman"/>
                <w:sz w:val="20"/>
              </w:rPr>
              <w:t>En seguimiento</w:t>
            </w:r>
          </w:p>
        </w:tc>
      </w:tr>
    </w:tbl>
    <w:p/>
    <w:p>
      <w:r>
        <w:rPr>
          <w:rFonts w:ascii="Times New Roman" w:hAnsi="Times New Roman" w:eastAsia="Times New Roman"/>
          <w:b/>
          <w:sz w:val="24"/>
        </w:rPr>
        <w:t>KPI 1: Tasa de Conversión</w:t>
      </w:r>
    </w:p>
    <w:p>
      <w:r>
        <w:rPr>
          <w:rFonts w:ascii="Times New Roman" w:hAnsi="Times New Roman" w:eastAsia="Times New Roman"/>
          <w:sz w:val="24"/>
        </w:rPr>
        <w:t>Fórmula: (Pedidos pagados / Visitas a la tienda en línea) × 100. Este indicador depende del sitio web, que se implementa en la Fase 3. Como medida de apoyo se calculó la conversión de cotizaciones: se emitieron dos (S00025 y S00026) y ambas fueron confirmadas como pedido de venta, es decir, 2 / 2 × 100 = 100 %.</w:t>
      </w:r>
    </w:p>
    <w:p>
      <w:r>
        <w:rPr>
          <w:rFonts w:ascii="Times New Roman" w:hAnsi="Times New Roman" w:eastAsia="Times New Roman"/>
          <w:b/>
          <w:sz w:val="24"/>
        </w:rPr>
        <w:t>KPI 2: Valor Promedio del Pedido</w:t>
      </w:r>
    </w:p>
    <w:p>
      <w:r>
        <w:rPr>
          <w:rFonts w:ascii="Times New Roman" w:hAnsi="Times New Roman" w:eastAsia="Times New Roman"/>
          <w:sz w:val="24"/>
        </w:rPr>
        <w:t>Fórmula: Ingresos facturados / Pedidos completados. La venta corporativa S00025 fue de Q 9,620.00 y la venta individual S00026 de Q 920.00, para un total de Q 10,540.00 y un promedio de Q 5,270.00 por pedido. Ambos tipos de venta superaron su meta (Q 2,800.00 y Q 350.00), lo que confirma que el canal corporativo eleva el valor de cada transacción.</w:t>
      </w:r>
    </w:p>
    <w:p>
      <w:r>
        <w:rPr>
          <w:rFonts w:ascii="Times New Roman" w:hAnsi="Times New Roman" w:eastAsia="Times New Roman"/>
          <w:b/>
          <w:sz w:val="24"/>
        </w:rPr>
        <w:t>KPI 3: Tiempo de Cumplimiento y Despacho</w:t>
      </w:r>
    </w:p>
    <w:p>
      <w:r>
        <w:rPr>
          <w:rFonts w:ascii="Times New Roman" w:hAnsi="Times New Roman" w:eastAsia="Times New Roman"/>
          <w:sz w:val="24"/>
        </w:rPr>
        <w:t>Fórmula: Hora de validación de la entrega − Hora de confirmación del pedido. El pedido S00026 se confirmó el 05/10/2026 a las 12:30:04 y su entrega WH/OUT/00015 se validó a las 12:32:11, un tiempo de 2 minutos y 7 segundos, muy por debajo de la meta de 48 horas para productos con existencia en bodega.</w:t>
      </w:r>
    </w:p>
    <w:p>
      <w:r>
        <w:rPr>
          <w:rFonts w:ascii="Times New Roman" w:hAnsi="Times New Roman" w:eastAsia="Times New Roman"/>
          <w:b/>
          <w:sz w:val="24"/>
        </w:rPr>
        <w:t>KPI 4: Exactitud de Registros de Inventario</w:t>
      </w:r>
    </w:p>
    <w:p>
      <w:r>
        <w:rPr>
          <w:rFonts w:ascii="Times New Roman" w:hAnsi="Times New Roman" w:eastAsia="Times New Roman"/>
          <w:sz w:val="24"/>
        </w:rPr>
        <w:t>Fórmula: (Productos con saldo coincidente / Productos auditados) × 100. Se conciliaron los 30 productos del catálogo: stock inicial de 327 unidades, más 44 unidades recibidas por compras (P00025 y P00026), menos 2 unidades despachadas por ventas (S00026), da 369 unidades, que es exactamente el stock real del informe de inventario. No se encontraron diferencias: 30 / 30 × 100 = 100 %.</w:t>
      </w:r>
    </w:p>
    <w:p>
      <w:r>
        <w:rPr>
          <w:rFonts w:ascii="Times New Roman" w:hAnsi="Times New Roman" w:eastAsia="Times New Roman"/>
          <w:b/>
          <w:sz w:val="24"/>
        </w:rPr>
        <w:t>KPI 5: Satisfacción del Cliente</w:t>
      </w:r>
    </w:p>
    <w:p>
      <w:r>
        <w:rPr>
          <w:rFonts w:ascii="Times New Roman" w:hAnsi="Times New Roman" w:eastAsia="Times New Roman"/>
          <w:sz w:val="24"/>
        </w:rPr>
        <w:t>Fórmula: (Calificaciones de 4 o 5 estrellas / Total de respuestas) × 100. La encuesta postventa se enviará desde el CRM cuando la tienda en línea esté activa. En esta fase se verificaron sus factores previos: el pedido entregado coincidió con lo cotizado y facturado, se despachó el mismo día y el cliente recibió notificación automática del envío.</w:t>
      </w:r>
    </w:p>
    <w:p>
      <w:r>
        <w:rPr>
          <w:rFonts w:ascii="Times New Roman" w:hAnsi="Times New Roman" w:eastAsia="Times New Roman"/>
          <w:b/>
          <w:sz w:val="24"/>
        </w:rPr>
        <w:t>Indicadores de Validación del Flujo</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09"/>
        <w:gridCol w:w="2209"/>
        <w:gridCol w:w="2209"/>
        <w:gridCol w:w="2209"/>
      </w:tblGrid>
      <w:tr>
        <w:tc>
          <w:tcPr>
            <w:tcW w:type="dxa" w:w="1928"/>
          </w:tcPr>
          <w:p>
            <w:r/>
            <w:r>
              <w:rPr>
                <w:rFonts w:ascii="Times New Roman" w:hAnsi="Times New Roman" w:eastAsia="Times New Roman"/>
                <w:b/>
                <w:sz w:val="20"/>
              </w:rPr>
              <w:t>Proceso</w:t>
            </w:r>
          </w:p>
        </w:tc>
        <w:tc>
          <w:tcPr>
            <w:tcW w:type="dxa" w:w="1587"/>
          </w:tcPr>
          <w:p>
            <w:r/>
            <w:r>
              <w:rPr>
                <w:rFonts w:ascii="Times New Roman" w:hAnsi="Times New Roman" w:eastAsia="Times New Roman"/>
                <w:b/>
                <w:sz w:val="20"/>
              </w:rPr>
              <w:t>Responsable</w:t>
            </w:r>
          </w:p>
        </w:tc>
        <w:tc>
          <w:tcPr>
            <w:tcW w:type="dxa" w:w="3061"/>
          </w:tcPr>
          <w:p>
            <w:r/>
            <w:r>
              <w:rPr>
                <w:rFonts w:ascii="Times New Roman" w:hAnsi="Times New Roman" w:eastAsia="Times New Roman"/>
                <w:b/>
                <w:sz w:val="20"/>
              </w:rPr>
              <w:t>Transacciones</w:t>
            </w:r>
          </w:p>
        </w:tc>
        <w:tc>
          <w:tcPr>
            <w:tcW w:type="dxa" w:w="2268"/>
          </w:tcPr>
          <w:p>
            <w:r/>
            <w:r>
              <w:rPr>
                <w:rFonts w:ascii="Times New Roman" w:hAnsi="Times New Roman" w:eastAsia="Times New Roman"/>
                <w:b/>
                <w:sz w:val="20"/>
              </w:rPr>
              <w:t>Resultado</w:t>
            </w:r>
          </w:p>
        </w:tc>
      </w:tr>
      <w:tr>
        <w:tc>
          <w:tcPr>
            <w:tcW w:type="dxa" w:w="1928"/>
          </w:tcPr>
          <w:p>
            <w:r/>
            <w:r>
              <w:rPr>
                <w:rFonts w:ascii="Times New Roman" w:hAnsi="Times New Roman" w:eastAsia="Times New Roman"/>
                <w:sz w:val="20"/>
              </w:rPr>
              <w:t>Datos maestros</w:t>
            </w:r>
          </w:p>
        </w:tc>
        <w:tc>
          <w:tcPr>
            <w:tcW w:type="dxa" w:w="1587"/>
          </w:tcPr>
          <w:p>
            <w:r/>
            <w:r>
              <w:rPr>
                <w:rFonts w:ascii="Times New Roman" w:hAnsi="Times New Roman" w:eastAsia="Times New Roman"/>
                <w:sz w:val="20"/>
              </w:rPr>
              <w:t>Norma Canú</w:t>
            </w:r>
          </w:p>
        </w:tc>
        <w:tc>
          <w:tcPr>
            <w:tcW w:type="dxa" w:w="3061"/>
          </w:tcPr>
          <w:p>
            <w:r/>
            <w:r>
              <w:rPr>
                <w:rFonts w:ascii="Times New Roman" w:hAnsi="Times New Roman" w:eastAsia="Times New Roman"/>
                <w:sz w:val="20"/>
              </w:rPr>
              <w:t>30 productos, 6 proveedores, 7 clientes</w:t>
            </w:r>
          </w:p>
        </w:tc>
        <w:tc>
          <w:tcPr>
            <w:tcW w:type="dxa" w:w="2268"/>
          </w:tcPr>
          <w:p>
            <w:r/>
            <w:r>
              <w:rPr>
                <w:rFonts w:ascii="Times New Roman" w:hAnsi="Times New Roman" w:eastAsia="Times New Roman"/>
                <w:sz w:val="20"/>
              </w:rPr>
              <w:t>Catálogo completo con imágenes y stock inicial</w:t>
            </w:r>
          </w:p>
        </w:tc>
      </w:tr>
      <w:tr>
        <w:tc>
          <w:tcPr>
            <w:tcW w:type="dxa" w:w="1928"/>
          </w:tcPr>
          <w:p>
            <w:r/>
            <w:r>
              <w:rPr>
                <w:rFonts w:ascii="Times New Roman" w:hAnsi="Times New Roman" w:eastAsia="Times New Roman"/>
                <w:sz w:val="20"/>
              </w:rPr>
              <w:t>Compras y abastecimiento</w:t>
            </w:r>
          </w:p>
        </w:tc>
        <w:tc>
          <w:tcPr>
            <w:tcW w:type="dxa" w:w="1587"/>
          </w:tcPr>
          <w:p>
            <w:r/>
            <w:r>
              <w:rPr>
                <w:rFonts w:ascii="Times New Roman" w:hAnsi="Times New Roman" w:eastAsia="Times New Roman"/>
                <w:sz w:val="20"/>
              </w:rPr>
              <w:t>Javier Pérez</w:t>
            </w:r>
          </w:p>
        </w:tc>
        <w:tc>
          <w:tcPr>
            <w:tcW w:type="dxa" w:w="3061"/>
          </w:tcPr>
          <w:p>
            <w:r/>
            <w:r>
              <w:rPr>
                <w:rFonts w:ascii="Times New Roman" w:hAnsi="Times New Roman" w:eastAsia="Times New Roman"/>
                <w:sz w:val="20"/>
              </w:rPr>
              <w:t>3 órdenes de compra (Q 17,090.00), 2 recepciones, 1 orden pendiente (P00027)</w:t>
            </w:r>
          </w:p>
        </w:tc>
        <w:tc>
          <w:tcPr>
            <w:tcW w:type="dxa" w:w="2268"/>
          </w:tcPr>
          <w:p>
            <w:r/>
            <w:r>
              <w:rPr>
                <w:rFonts w:ascii="Times New Roman" w:hAnsi="Times New Roman" w:eastAsia="Times New Roman"/>
                <w:sz w:val="20"/>
              </w:rPr>
              <w:t>+44 unidades en bodega, actualización automática</w:t>
            </w:r>
          </w:p>
        </w:tc>
      </w:tr>
      <w:tr>
        <w:tc>
          <w:tcPr>
            <w:tcW w:type="dxa" w:w="1928"/>
          </w:tcPr>
          <w:p>
            <w:r/>
            <w:r>
              <w:rPr>
                <w:rFonts w:ascii="Times New Roman" w:hAnsi="Times New Roman" w:eastAsia="Times New Roman"/>
                <w:sz w:val="20"/>
              </w:rPr>
              <w:t>Cotizaciones y ventas</w:t>
            </w:r>
          </w:p>
        </w:tc>
        <w:tc>
          <w:tcPr>
            <w:tcW w:type="dxa" w:w="1587"/>
          </w:tcPr>
          <w:p>
            <w:r/>
            <w:r>
              <w:rPr>
                <w:rFonts w:ascii="Times New Roman" w:hAnsi="Times New Roman" w:eastAsia="Times New Roman"/>
                <w:sz w:val="20"/>
              </w:rPr>
              <w:t>Eduardo López</w:t>
            </w:r>
          </w:p>
        </w:tc>
        <w:tc>
          <w:tcPr>
            <w:tcW w:type="dxa" w:w="3061"/>
          </w:tcPr>
          <w:p>
            <w:r/>
            <w:r>
              <w:rPr>
                <w:rFonts w:ascii="Times New Roman" w:hAnsi="Times New Roman" w:eastAsia="Times New Roman"/>
                <w:sz w:val="20"/>
              </w:rPr>
              <w:t>2 pedidos de venta (Q 10,540.00), 1 entrega, 1 factura (Q 920.00)</w:t>
            </w:r>
          </w:p>
        </w:tc>
        <w:tc>
          <w:tcPr>
            <w:tcW w:type="dxa" w:w="2268"/>
          </w:tcPr>
          <w:p>
            <w:r/>
            <w:r>
              <w:rPr>
                <w:rFonts w:ascii="Times New Roman" w:hAnsi="Times New Roman" w:eastAsia="Times New Roman"/>
                <w:sz w:val="20"/>
              </w:rPr>
              <w:t>Reserva y salida de stock automáticas</w:t>
            </w:r>
          </w:p>
        </w:tc>
      </w:tr>
      <w:tr>
        <w:tc>
          <w:tcPr>
            <w:tcW w:type="dxa" w:w="1928"/>
          </w:tcPr>
          <w:p>
            <w:r/>
            <w:r>
              <w:rPr>
                <w:rFonts w:ascii="Times New Roman" w:hAnsi="Times New Roman" w:eastAsia="Times New Roman"/>
                <w:sz w:val="20"/>
              </w:rPr>
              <w:t>Reabastecimiento</w:t>
            </w:r>
          </w:p>
        </w:tc>
        <w:tc>
          <w:tcPr>
            <w:tcW w:type="dxa" w:w="1587"/>
          </w:tcPr>
          <w:p>
            <w:r/>
            <w:r>
              <w:rPr>
                <w:rFonts w:ascii="Times New Roman" w:hAnsi="Times New Roman" w:eastAsia="Times New Roman"/>
                <w:sz w:val="20"/>
              </w:rPr>
              <w:t>Eduardo López</w:t>
            </w:r>
          </w:p>
        </w:tc>
        <w:tc>
          <w:tcPr>
            <w:tcW w:type="dxa" w:w="3061"/>
          </w:tcPr>
          <w:p>
            <w:r/>
            <w:r>
              <w:rPr>
                <w:rFonts w:ascii="Times New Roman" w:hAnsi="Times New Roman" w:eastAsia="Times New Roman"/>
                <w:sz w:val="20"/>
              </w:rPr>
              <w:t>1 alerta de stock bajo (RA-014), 1 orden de reposición (P00028)</w:t>
            </w:r>
          </w:p>
        </w:tc>
        <w:tc>
          <w:tcPr>
            <w:tcW w:type="dxa" w:w="2268"/>
          </w:tcPr>
          <w:p>
            <w:r/>
            <w:r>
              <w:rPr>
                <w:rFonts w:ascii="Times New Roman" w:hAnsi="Times New Roman" w:eastAsia="Times New Roman"/>
                <w:sz w:val="20"/>
              </w:rPr>
              <w:t>Prevención de quiebre de stock</w:t>
            </w:r>
          </w:p>
        </w:tc>
      </w:tr>
    </w:tbl>
    <w:p/>
    <w:p>
      <w:r>
        <w:rPr>
          <w:rFonts w:ascii="Times New Roman" w:hAnsi="Times New Roman" w:eastAsia="Times New Roman"/>
          <w:b/>
          <w:sz w:val="24"/>
        </w:rPr>
        <w:t>Conclusión de la Medición</w:t>
      </w:r>
    </w:p>
    <w:p>
      <w:r>
        <w:rPr>
          <w:rFonts w:ascii="Times New Roman" w:hAnsi="Times New Roman" w:eastAsia="Times New Roman"/>
          <w:sz w:val="24"/>
        </w:rPr>
        <w:t>Los procesos de la Fase 2 funcionan de extremo a extremo: lo comprado ingresa automáticamente al inventario, lo vendido se reserva y descuenta en el momento del despacho, y las alertas de reposición se convierten en órdenes de compra. Tres de los cinco KPIs ya cumplen su meta; los dos restantes (conversión de la tienda en línea y CSAT) requieren el sitio web y las encuestas del CRM, previstos para la Fase 3.</w:t>
      </w:r>
    </w:p>
    <w:sectPr w:rsidR="00A97388" w:rsidRPr="001A74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223E6"/>
    <w:multiLevelType w:val="multilevel"/>
    <w:tmpl w:val="D276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04EB"/>
    <w:multiLevelType w:val="multilevel"/>
    <w:tmpl w:val="D58257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85971"/>
    <w:multiLevelType w:val="multilevel"/>
    <w:tmpl w:val="0B1A4E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D47DC"/>
    <w:multiLevelType w:val="multilevel"/>
    <w:tmpl w:val="0F9A09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0113A5"/>
    <w:multiLevelType w:val="multilevel"/>
    <w:tmpl w:val="BA44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6220D"/>
    <w:multiLevelType w:val="multilevel"/>
    <w:tmpl w:val="FD76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233A2E"/>
    <w:multiLevelType w:val="multilevel"/>
    <w:tmpl w:val="6460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2"/>
  </w:num>
  <w:num w:numId="4">
    <w:abstractNumId w:val="5"/>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53"/>
    <w:rsid w:val="001A7453"/>
    <w:rsid w:val="002749FC"/>
    <w:rsid w:val="0033477F"/>
    <w:rsid w:val="00A9738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BE15"/>
  <w15:chartTrackingRefBased/>
  <w15:docId w15:val="{E37DDE00-CCFE-4942-BA9C-14CFCCBE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1A7453"/>
    <w:pPr>
      <w:spacing w:before="100" w:beforeAutospacing="1" w:after="100" w:afterAutospacing="1" w:line="240" w:lineRule="auto"/>
      <w:outlineLvl w:val="1"/>
    </w:pPr>
    <w:rPr>
      <w:rFonts w:ascii="Times New Roman" w:eastAsia="Times New Roman" w:hAnsi="Times New Roman" w:cs="Times New Roman"/>
      <w:b/>
      <w:bCs/>
      <w:sz w:val="36"/>
      <w:szCs w:val="36"/>
      <w:lang w:eastAsia="es-GT"/>
    </w:rPr>
  </w:style>
  <w:style w:type="paragraph" w:styleId="Ttulo3">
    <w:name w:val="heading 3"/>
    <w:basedOn w:val="Normal"/>
    <w:link w:val="Ttulo3Car"/>
    <w:uiPriority w:val="9"/>
    <w:qFormat/>
    <w:rsid w:val="001A7453"/>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A7453"/>
    <w:rPr>
      <w:rFonts w:ascii="Times New Roman" w:eastAsia="Times New Roman" w:hAnsi="Times New Roman" w:cs="Times New Roman"/>
      <w:b/>
      <w:bCs/>
      <w:sz w:val="36"/>
      <w:szCs w:val="36"/>
      <w:lang w:eastAsia="es-GT"/>
    </w:rPr>
  </w:style>
  <w:style w:type="character" w:customStyle="1" w:styleId="Ttulo3Car">
    <w:name w:val="Título 3 Car"/>
    <w:basedOn w:val="Fuentedeprrafopredeter"/>
    <w:link w:val="Ttulo3"/>
    <w:uiPriority w:val="9"/>
    <w:rsid w:val="001A7453"/>
    <w:rPr>
      <w:rFonts w:ascii="Times New Roman" w:eastAsia="Times New Roman" w:hAnsi="Times New Roman" w:cs="Times New Roman"/>
      <w:b/>
      <w:bCs/>
      <w:sz w:val="27"/>
      <w:szCs w:val="27"/>
      <w:lang w:eastAsia="es-GT"/>
    </w:rPr>
  </w:style>
  <w:style w:type="paragraph" w:styleId="NormalWeb">
    <w:name w:val="Normal (Web)"/>
    <w:basedOn w:val="Normal"/>
    <w:uiPriority w:val="99"/>
    <w:semiHidden/>
    <w:unhideWhenUsed/>
    <w:rsid w:val="001A7453"/>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CdigoHTML">
    <w:name w:val="HTML Code"/>
    <w:basedOn w:val="Fuentedeprrafopredeter"/>
    <w:uiPriority w:val="99"/>
    <w:semiHidden/>
    <w:unhideWhenUsed/>
    <w:rsid w:val="001A7453"/>
    <w:rPr>
      <w:rFonts w:ascii="Courier New" w:eastAsia="Times New Roman" w:hAnsi="Courier New" w:cs="Courier New"/>
      <w:sz w:val="20"/>
      <w:szCs w:val="20"/>
    </w:rPr>
  </w:style>
  <w:style w:type="character" w:customStyle="1" w:styleId="math-inline">
    <w:name w:val="math-inline"/>
    <w:basedOn w:val="Fuentedeprrafopredeter"/>
    <w:rsid w:val="001A74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05343">
      <w:bodyDiv w:val="1"/>
      <w:marLeft w:val="0"/>
      <w:marRight w:val="0"/>
      <w:marTop w:val="0"/>
      <w:marBottom w:val="0"/>
      <w:divBdr>
        <w:top w:val="none" w:sz="0" w:space="0" w:color="auto"/>
        <w:left w:val="none" w:sz="0" w:space="0" w:color="auto"/>
        <w:bottom w:val="none" w:sz="0" w:space="0" w:color="auto"/>
        <w:right w:val="none" w:sz="0" w:space="0" w:color="auto"/>
      </w:divBdr>
    </w:div>
    <w:div w:id="262343402">
      <w:bodyDiv w:val="1"/>
      <w:marLeft w:val="0"/>
      <w:marRight w:val="0"/>
      <w:marTop w:val="0"/>
      <w:marBottom w:val="0"/>
      <w:divBdr>
        <w:top w:val="none" w:sz="0" w:space="0" w:color="auto"/>
        <w:left w:val="none" w:sz="0" w:space="0" w:color="auto"/>
        <w:bottom w:val="none" w:sz="0" w:space="0" w:color="auto"/>
        <w:right w:val="none" w:sz="0" w:space="0" w:color="auto"/>
      </w:divBdr>
    </w:div>
    <w:div w:id="503592162">
      <w:bodyDiv w:val="1"/>
      <w:marLeft w:val="0"/>
      <w:marRight w:val="0"/>
      <w:marTop w:val="0"/>
      <w:marBottom w:val="0"/>
      <w:divBdr>
        <w:top w:val="none" w:sz="0" w:space="0" w:color="auto"/>
        <w:left w:val="none" w:sz="0" w:space="0" w:color="auto"/>
        <w:bottom w:val="none" w:sz="0" w:space="0" w:color="auto"/>
        <w:right w:val="none" w:sz="0" w:space="0" w:color="auto"/>
      </w:divBdr>
    </w:div>
    <w:div w:id="508562387">
      <w:bodyDiv w:val="1"/>
      <w:marLeft w:val="0"/>
      <w:marRight w:val="0"/>
      <w:marTop w:val="0"/>
      <w:marBottom w:val="0"/>
      <w:divBdr>
        <w:top w:val="none" w:sz="0" w:space="0" w:color="auto"/>
        <w:left w:val="none" w:sz="0" w:space="0" w:color="auto"/>
        <w:bottom w:val="none" w:sz="0" w:space="0" w:color="auto"/>
        <w:right w:val="none" w:sz="0" w:space="0" w:color="auto"/>
      </w:divBdr>
    </w:div>
    <w:div w:id="562759781">
      <w:bodyDiv w:val="1"/>
      <w:marLeft w:val="0"/>
      <w:marRight w:val="0"/>
      <w:marTop w:val="0"/>
      <w:marBottom w:val="0"/>
      <w:divBdr>
        <w:top w:val="none" w:sz="0" w:space="0" w:color="auto"/>
        <w:left w:val="none" w:sz="0" w:space="0" w:color="auto"/>
        <w:bottom w:val="none" w:sz="0" w:space="0" w:color="auto"/>
        <w:right w:val="none" w:sz="0" w:space="0" w:color="auto"/>
      </w:divBdr>
    </w:div>
    <w:div w:id="687407229">
      <w:bodyDiv w:val="1"/>
      <w:marLeft w:val="0"/>
      <w:marRight w:val="0"/>
      <w:marTop w:val="0"/>
      <w:marBottom w:val="0"/>
      <w:divBdr>
        <w:top w:val="none" w:sz="0" w:space="0" w:color="auto"/>
        <w:left w:val="none" w:sz="0" w:space="0" w:color="auto"/>
        <w:bottom w:val="none" w:sz="0" w:space="0" w:color="auto"/>
        <w:right w:val="none" w:sz="0" w:space="0" w:color="auto"/>
      </w:divBdr>
    </w:div>
    <w:div w:id="721367516">
      <w:bodyDiv w:val="1"/>
      <w:marLeft w:val="0"/>
      <w:marRight w:val="0"/>
      <w:marTop w:val="0"/>
      <w:marBottom w:val="0"/>
      <w:divBdr>
        <w:top w:val="none" w:sz="0" w:space="0" w:color="auto"/>
        <w:left w:val="none" w:sz="0" w:space="0" w:color="auto"/>
        <w:bottom w:val="none" w:sz="0" w:space="0" w:color="auto"/>
        <w:right w:val="none" w:sz="0" w:space="0" w:color="auto"/>
      </w:divBdr>
    </w:div>
    <w:div w:id="917206615">
      <w:bodyDiv w:val="1"/>
      <w:marLeft w:val="0"/>
      <w:marRight w:val="0"/>
      <w:marTop w:val="0"/>
      <w:marBottom w:val="0"/>
      <w:divBdr>
        <w:top w:val="none" w:sz="0" w:space="0" w:color="auto"/>
        <w:left w:val="none" w:sz="0" w:space="0" w:color="auto"/>
        <w:bottom w:val="none" w:sz="0" w:space="0" w:color="auto"/>
        <w:right w:val="none" w:sz="0" w:space="0" w:color="auto"/>
      </w:divBdr>
    </w:div>
    <w:div w:id="955405625">
      <w:bodyDiv w:val="1"/>
      <w:marLeft w:val="0"/>
      <w:marRight w:val="0"/>
      <w:marTop w:val="0"/>
      <w:marBottom w:val="0"/>
      <w:divBdr>
        <w:top w:val="none" w:sz="0" w:space="0" w:color="auto"/>
        <w:left w:val="none" w:sz="0" w:space="0" w:color="auto"/>
        <w:bottom w:val="none" w:sz="0" w:space="0" w:color="auto"/>
        <w:right w:val="none" w:sz="0" w:space="0" w:color="auto"/>
      </w:divBdr>
    </w:div>
    <w:div w:id="1086339077">
      <w:bodyDiv w:val="1"/>
      <w:marLeft w:val="0"/>
      <w:marRight w:val="0"/>
      <w:marTop w:val="0"/>
      <w:marBottom w:val="0"/>
      <w:divBdr>
        <w:top w:val="none" w:sz="0" w:space="0" w:color="auto"/>
        <w:left w:val="none" w:sz="0" w:space="0" w:color="auto"/>
        <w:bottom w:val="none" w:sz="0" w:space="0" w:color="auto"/>
        <w:right w:val="none" w:sz="0" w:space="0" w:color="auto"/>
      </w:divBdr>
    </w:div>
    <w:div w:id="1473593300">
      <w:bodyDiv w:val="1"/>
      <w:marLeft w:val="0"/>
      <w:marRight w:val="0"/>
      <w:marTop w:val="0"/>
      <w:marBottom w:val="0"/>
      <w:divBdr>
        <w:top w:val="none" w:sz="0" w:space="0" w:color="auto"/>
        <w:left w:val="none" w:sz="0" w:space="0" w:color="auto"/>
        <w:bottom w:val="none" w:sz="0" w:space="0" w:color="auto"/>
        <w:right w:val="none" w:sz="0" w:space="0" w:color="auto"/>
      </w:divBdr>
    </w:div>
    <w:div w:id="1664115451">
      <w:bodyDiv w:val="1"/>
      <w:marLeft w:val="0"/>
      <w:marRight w:val="0"/>
      <w:marTop w:val="0"/>
      <w:marBottom w:val="0"/>
      <w:divBdr>
        <w:top w:val="none" w:sz="0" w:space="0" w:color="auto"/>
        <w:left w:val="none" w:sz="0" w:space="0" w:color="auto"/>
        <w:bottom w:val="none" w:sz="0" w:space="0" w:color="auto"/>
        <w:right w:val="none" w:sz="0" w:space="0" w:color="auto"/>
      </w:divBdr>
    </w:div>
    <w:div w:id="1771045988">
      <w:bodyDiv w:val="1"/>
      <w:marLeft w:val="0"/>
      <w:marRight w:val="0"/>
      <w:marTop w:val="0"/>
      <w:marBottom w:val="0"/>
      <w:divBdr>
        <w:top w:val="none" w:sz="0" w:space="0" w:color="auto"/>
        <w:left w:val="none" w:sz="0" w:space="0" w:color="auto"/>
        <w:bottom w:val="none" w:sz="0" w:space="0" w:color="auto"/>
        <w:right w:val="none" w:sz="0" w:space="0" w:color="auto"/>
      </w:divBdr>
      <w:divsChild>
        <w:div w:id="466968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119922">
          <w:blockQuote w:val="1"/>
          <w:marLeft w:val="720"/>
          <w:marRight w:val="720"/>
          <w:marTop w:val="100"/>
          <w:marBottom w:val="100"/>
          <w:divBdr>
            <w:top w:val="none" w:sz="0" w:space="0" w:color="auto"/>
            <w:left w:val="none" w:sz="0" w:space="0" w:color="auto"/>
            <w:bottom w:val="none" w:sz="0" w:space="0" w:color="auto"/>
            <w:right w:val="none" w:sz="0" w:space="0" w:color="auto"/>
          </w:divBdr>
        </w:div>
        <w:div w:id="735082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010503">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84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76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30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437</Words>
  <Characters>2408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Canú Xico</dc:creator>
  <cp:keywords/>
  <dc:description/>
  <cp:lastModifiedBy>Canú Xico</cp:lastModifiedBy>
  <cp:revision>1</cp:revision>
  <dcterms:created xsi:type="dcterms:W3CDTF">2026-10-05T02:48:00Z</dcterms:created>
  <dcterms:modified xsi:type="dcterms:W3CDTF">2026-10-05T03:18:00Z</dcterms:modified>
</cp:coreProperties>
</file>