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B7269" w14:textId="77777777" w:rsidR="00811DD5" w:rsidRDefault="004F7AAA">
      <w:pPr>
        <w:jc w:val="center"/>
      </w:pPr>
      <w:r>
        <w:rPr>
          <w:rFonts w:ascii="Times New Roman" w:eastAsia="Times New Roman" w:hAnsi="Times New Roman" w:cs="Times New Roman"/>
          <w:b/>
          <w:sz w:val="28"/>
        </w:rPr>
        <w:t>Evaluación de Objetivos SMART, Conclusiones y Escalabilidad</w:t>
      </w:r>
    </w:p>
    <w:p w14:paraId="1A90DF05" w14:textId="77777777" w:rsidR="00811DD5" w:rsidRDefault="00811DD5"/>
    <w:p w14:paraId="42C8711F" w14:textId="77777777" w:rsidR="00811DD5" w:rsidRDefault="004F7AAA">
      <w:pPr>
        <w:keepNext/>
      </w:pPr>
      <w:r>
        <w:rPr>
          <w:rFonts w:ascii="Times New Roman" w:eastAsia="Times New Roman" w:hAnsi="Times New Roman" w:cs="Times New Roman"/>
          <w:b/>
          <w:sz w:val="24"/>
        </w:rPr>
        <w:t>Fuente de los Datos</w:t>
      </w:r>
    </w:p>
    <w:p w14:paraId="1EA895D8" w14:textId="77777777" w:rsidR="00811DD5" w:rsidRDefault="004F7AAA">
      <w:r>
        <w:rPr>
          <w:rFonts w:ascii="Times New Roman" w:eastAsia="Times New Roman" w:hAnsi="Times New Roman" w:cs="Times New Roman"/>
          <w:sz w:val="24"/>
        </w:rPr>
        <w:t>La evaluación utiliza únicamente registros de la base raiz_artesanal_db al 20 de octubre de 2026: 7 pedidos de venta confirmados (S00025 y S00026 por venta directa; S00027 a S00031 por la tienda en línea), sus facturas y entregas, el pipeline del CRM, el conteo físico de inventario y la encuesta de satisfacción. Los mismos datos se analizan en los reportes de Business Intelligence de Metabase (Reporte de Inventario, Reporte de Ventas y Tablero de Control Gerencial), y los indicadores se pueden recalcular co</w:t>
      </w:r>
      <w:r>
        <w:rPr>
          <w:rFonts w:ascii="Times New Roman" w:eastAsia="Times New Roman" w:hAnsi="Times New Roman" w:cs="Times New Roman"/>
          <w:sz w:val="24"/>
        </w:rPr>
        <w:t>n el archivo Fase_3/KPIs/verificar_kpis.py.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6"/>
        <w:gridCol w:w="5432"/>
      </w:tblGrid>
      <w:tr w:rsidR="00811DD5" w14:paraId="7B1B0277" w14:textId="77777777">
        <w:tc>
          <w:tcPr>
            <w:tcW w:w="3402" w:type="dxa"/>
          </w:tcPr>
          <w:p w14:paraId="4489424E" w14:textId="77777777" w:rsidR="00811DD5" w:rsidRDefault="004F7AAA">
            <w:r>
              <w:rPr>
                <w:rFonts w:ascii="Times New Roman" w:eastAsia="Times New Roman" w:hAnsi="Times New Roman" w:cs="Times New Roman"/>
                <w:b/>
                <w:sz w:val="20"/>
              </w:rPr>
              <w:t>Dato del sistema</w:t>
            </w:r>
          </w:p>
        </w:tc>
        <w:tc>
          <w:tcPr>
            <w:tcW w:w="5443" w:type="dxa"/>
          </w:tcPr>
          <w:p w14:paraId="60C18513" w14:textId="77777777" w:rsidR="00811DD5" w:rsidRDefault="004F7AAA">
            <w:r>
              <w:rPr>
                <w:rFonts w:ascii="Times New Roman" w:eastAsia="Times New Roman" w:hAnsi="Times New Roman" w:cs="Times New Roman"/>
                <w:b/>
                <w:sz w:val="20"/>
              </w:rPr>
              <w:t>Valor</w:t>
            </w:r>
          </w:p>
        </w:tc>
      </w:tr>
      <w:tr w:rsidR="00811DD5" w14:paraId="1E2C4ABD" w14:textId="77777777">
        <w:tc>
          <w:tcPr>
            <w:tcW w:w="3402" w:type="dxa"/>
          </w:tcPr>
          <w:p w14:paraId="563A83E5" w14:textId="77777777" w:rsidR="00811DD5" w:rsidRDefault="004F7AAA">
            <w:r>
              <w:rPr>
                <w:rFonts w:ascii="Times New Roman" w:eastAsia="Times New Roman" w:hAnsi="Times New Roman" w:cs="Times New Roman"/>
                <w:sz w:val="20"/>
              </w:rPr>
              <w:t>Ventas confirmadas</w:t>
            </w:r>
          </w:p>
        </w:tc>
        <w:tc>
          <w:tcPr>
            <w:tcW w:w="5443" w:type="dxa"/>
          </w:tcPr>
          <w:p w14:paraId="1DE2BAFD" w14:textId="77777777" w:rsidR="00811DD5" w:rsidRDefault="004F7AAA">
            <w:r>
              <w:rPr>
                <w:rFonts w:ascii="Times New Roman" w:eastAsia="Times New Roman" w:hAnsi="Times New Roman" w:cs="Times New Roman"/>
                <w:sz w:val="20"/>
              </w:rPr>
              <w:t>7 pedidos · Q 17,470.00 (IVA incluido)</w:t>
            </w:r>
          </w:p>
        </w:tc>
      </w:tr>
      <w:tr w:rsidR="00811DD5" w14:paraId="5876DA8B" w14:textId="77777777">
        <w:tc>
          <w:tcPr>
            <w:tcW w:w="3402" w:type="dxa"/>
          </w:tcPr>
          <w:p w14:paraId="243BEB6F" w14:textId="77777777" w:rsidR="00811DD5" w:rsidRDefault="004F7AAA">
            <w:r>
              <w:rPr>
                <w:rFonts w:ascii="Times New Roman" w:eastAsia="Times New Roman" w:hAnsi="Times New Roman" w:cs="Times New Roman"/>
                <w:sz w:val="20"/>
              </w:rPr>
              <w:t>Venta directa (Fase 2)</w:t>
            </w:r>
          </w:p>
        </w:tc>
        <w:tc>
          <w:tcPr>
            <w:tcW w:w="5443" w:type="dxa"/>
          </w:tcPr>
          <w:p w14:paraId="29C3D2B3" w14:textId="77777777" w:rsidR="00811DD5" w:rsidRDefault="004F7AAA">
            <w:r>
              <w:rPr>
                <w:rFonts w:ascii="Times New Roman" w:eastAsia="Times New Roman" w:hAnsi="Times New Roman" w:cs="Times New Roman"/>
                <w:sz w:val="20"/>
              </w:rPr>
              <w:t>2 pedidos · Q 10,540.00</w:t>
            </w:r>
          </w:p>
        </w:tc>
      </w:tr>
      <w:tr w:rsidR="00811DD5" w14:paraId="03A9114B" w14:textId="77777777">
        <w:tc>
          <w:tcPr>
            <w:tcW w:w="3402" w:type="dxa"/>
          </w:tcPr>
          <w:p w14:paraId="62AAE534" w14:textId="77777777" w:rsidR="00811DD5" w:rsidRDefault="004F7AAA">
            <w:r>
              <w:rPr>
                <w:rFonts w:ascii="Times New Roman" w:eastAsia="Times New Roman" w:hAnsi="Times New Roman" w:cs="Times New Roman"/>
                <w:sz w:val="20"/>
              </w:rPr>
              <w:t>Tienda en línea (Fase 3)</w:t>
            </w:r>
          </w:p>
        </w:tc>
        <w:tc>
          <w:tcPr>
            <w:tcW w:w="5443" w:type="dxa"/>
          </w:tcPr>
          <w:p w14:paraId="5127EC82" w14:textId="77777777" w:rsidR="00811DD5" w:rsidRDefault="004F7AAA">
            <w:r>
              <w:rPr>
                <w:rFonts w:ascii="Times New Roman" w:eastAsia="Times New Roman" w:hAnsi="Times New Roman" w:cs="Times New Roman"/>
                <w:sz w:val="20"/>
              </w:rPr>
              <w:t>5 pedidos · Q 6,930.00 (39.7 % de las ventas)</w:t>
            </w:r>
          </w:p>
        </w:tc>
      </w:tr>
      <w:tr w:rsidR="00811DD5" w14:paraId="64B7C98A" w14:textId="77777777">
        <w:tc>
          <w:tcPr>
            <w:tcW w:w="3402" w:type="dxa"/>
          </w:tcPr>
          <w:p w14:paraId="08092A77" w14:textId="77777777" w:rsidR="00811DD5" w:rsidRDefault="004F7AAA">
            <w:r>
              <w:rPr>
                <w:rFonts w:ascii="Times New Roman" w:eastAsia="Times New Roman" w:hAnsi="Times New Roman" w:cs="Times New Roman"/>
                <w:sz w:val="20"/>
              </w:rPr>
              <w:t>Margen bruto (venta sin IVA − costo)</w:t>
            </w:r>
          </w:p>
        </w:tc>
        <w:tc>
          <w:tcPr>
            <w:tcW w:w="5443" w:type="dxa"/>
          </w:tcPr>
          <w:p w14:paraId="62AEBDE4" w14:textId="77777777" w:rsidR="00811DD5" w:rsidRDefault="004F7AAA">
            <w:r>
              <w:rPr>
                <w:rFonts w:ascii="Times New Roman" w:eastAsia="Times New Roman" w:hAnsi="Times New Roman" w:cs="Times New Roman"/>
                <w:sz w:val="20"/>
              </w:rPr>
              <w:t>Q 15,598.22 − Q 9,935.00 = Q 5,663.22 (36.3 %)</w:t>
            </w:r>
          </w:p>
        </w:tc>
      </w:tr>
      <w:tr w:rsidR="00811DD5" w14:paraId="4046C372" w14:textId="77777777">
        <w:tc>
          <w:tcPr>
            <w:tcW w:w="3402" w:type="dxa"/>
          </w:tcPr>
          <w:p w14:paraId="79BB9AAE" w14:textId="77777777" w:rsidR="00811DD5" w:rsidRDefault="004F7AAA">
            <w:r>
              <w:rPr>
                <w:rFonts w:ascii="Times New Roman" w:eastAsia="Times New Roman" w:hAnsi="Times New Roman" w:cs="Times New Roman"/>
                <w:sz w:val="20"/>
              </w:rPr>
              <w:t>Clientes registrados</w:t>
            </w:r>
          </w:p>
        </w:tc>
        <w:tc>
          <w:tcPr>
            <w:tcW w:w="5443" w:type="dxa"/>
          </w:tcPr>
          <w:p w14:paraId="2D2A0677" w14:textId="77777777" w:rsidR="00811DD5" w:rsidRDefault="004F7AAA">
            <w:r>
              <w:rPr>
                <w:rFonts w:ascii="Times New Roman" w:eastAsia="Times New Roman" w:hAnsi="Times New Roman" w:cs="Times New Roman"/>
                <w:sz w:val="20"/>
              </w:rPr>
              <w:t>12 (7 cargados en la Fase 2 y 5 registrados en la tienda)</w:t>
            </w:r>
          </w:p>
        </w:tc>
      </w:tr>
      <w:tr w:rsidR="00811DD5" w14:paraId="1A2877AF" w14:textId="77777777">
        <w:tc>
          <w:tcPr>
            <w:tcW w:w="3402" w:type="dxa"/>
          </w:tcPr>
          <w:p w14:paraId="75C4B970" w14:textId="77777777" w:rsidR="00811DD5" w:rsidRDefault="004F7AAA">
            <w:r>
              <w:rPr>
                <w:rFonts w:ascii="Times New Roman" w:eastAsia="Times New Roman" w:hAnsi="Times New Roman" w:cs="Times New Roman"/>
                <w:sz w:val="20"/>
              </w:rPr>
              <w:t>Existencias en WH/Stock</w:t>
            </w:r>
          </w:p>
        </w:tc>
        <w:tc>
          <w:tcPr>
            <w:tcW w:w="5443" w:type="dxa"/>
          </w:tcPr>
          <w:p w14:paraId="170AF367" w14:textId="77777777" w:rsidR="00811DD5" w:rsidRDefault="004F7AAA">
            <w:r>
              <w:rPr>
                <w:rFonts w:ascii="Times New Roman" w:eastAsia="Times New Roman" w:hAnsi="Times New Roman" w:cs="Times New Roman"/>
                <w:sz w:val="20"/>
              </w:rPr>
              <w:t>340 unidades</w:t>
            </w:r>
          </w:p>
        </w:tc>
      </w:tr>
    </w:tbl>
    <w:p w14:paraId="1D843012" w14:textId="77777777" w:rsidR="00811DD5" w:rsidRDefault="00811DD5"/>
    <w:p w14:paraId="7334DE8E" w14:textId="77777777" w:rsidR="00811DD5" w:rsidRDefault="004F7AAA">
      <w:pPr>
        <w:keepNext/>
      </w:pPr>
      <w:r>
        <w:rPr>
          <w:rFonts w:ascii="Times New Roman" w:eastAsia="Times New Roman" w:hAnsi="Times New Roman" w:cs="Times New Roman"/>
          <w:b/>
          <w:sz w:val="24"/>
        </w:rPr>
        <w:t>Hallazgos del Análisis de BI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90"/>
        <w:gridCol w:w="3508"/>
        <w:gridCol w:w="2830"/>
      </w:tblGrid>
      <w:tr w:rsidR="00811DD5" w14:paraId="06B28C08" w14:textId="77777777">
        <w:tc>
          <w:tcPr>
            <w:tcW w:w="2494" w:type="dxa"/>
          </w:tcPr>
          <w:p w14:paraId="4E4ADA62" w14:textId="77777777" w:rsidR="00811DD5" w:rsidRDefault="004F7AAA">
            <w:r>
              <w:rPr>
                <w:rFonts w:ascii="Times New Roman" w:eastAsia="Times New Roman" w:hAnsi="Times New Roman" w:cs="Times New Roman"/>
                <w:b/>
                <w:sz w:val="18"/>
              </w:rPr>
              <w:t>Hallazgo</w:t>
            </w:r>
          </w:p>
        </w:tc>
        <w:tc>
          <w:tcPr>
            <w:tcW w:w="3515" w:type="dxa"/>
          </w:tcPr>
          <w:p w14:paraId="28A8B18D" w14:textId="77777777" w:rsidR="00811DD5" w:rsidRDefault="004F7AAA">
            <w:r>
              <w:rPr>
                <w:rFonts w:ascii="Times New Roman" w:eastAsia="Times New Roman" w:hAnsi="Times New Roman" w:cs="Times New Roman"/>
                <w:b/>
                <w:sz w:val="18"/>
              </w:rPr>
              <w:t>Dato del reporte</w:t>
            </w:r>
          </w:p>
        </w:tc>
        <w:tc>
          <w:tcPr>
            <w:tcW w:w="2835" w:type="dxa"/>
          </w:tcPr>
          <w:p w14:paraId="6AB040CB" w14:textId="77777777" w:rsidR="00811DD5" w:rsidRDefault="004F7AAA">
            <w:r>
              <w:rPr>
                <w:rFonts w:ascii="Times New Roman" w:eastAsia="Times New Roman" w:hAnsi="Times New Roman" w:cs="Times New Roman"/>
                <w:b/>
                <w:sz w:val="18"/>
              </w:rPr>
              <w:t>Implicación</w:t>
            </w:r>
          </w:p>
        </w:tc>
      </w:tr>
      <w:tr w:rsidR="00811DD5" w14:paraId="339B11E5" w14:textId="77777777">
        <w:tc>
          <w:tcPr>
            <w:tcW w:w="2494" w:type="dxa"/>
          </w:tcPr>
          <w:p w14:paraId="0AB2D20C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La ganancia se concentra en Decoración y Hogar</w:t>
            </w:r>
          </w:p>
        </w:tc>
        <w:tc>
          <w:tcPr>
            <w:tcW w:w="3515" w:type="dxa"/>
          </w:tcPr>
          <w:p w14:paraId="0930C03F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76.9 % de la ganancia (Q 4,357.51 de Q 5,663.22) con solo 15.9 % de las unidades en inventario</w:t>
            </w:r>
          </w:p>
        </w:tc>
        <w:tc>
          <w:tcPr>
            <w:tcW w:w="2835" w:type="dxa"/>
          </w:tcPr>
          <w:p w14:paraId="2E4BF8F8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Es la familia que más rinde y la que tiene menos existencias disponibles</w:t>
            </w:r>
          </w:p>
        </w:tc>
      </w:tr>
      <w:tr w:rsidR="00811DD5" w14:paraId="0F628A60" w14:textId="77777777">
        <w:tc>
          <w:tcPr>
            <w:tcW w:w="2494" w:type="dxa"/>
          </w:tcPr>
          <w:p w14:paraId="5F0A42D3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Inventario inmovilizado en Accesorios y Textiles</w:t>
            </w:r>
          </w:p>
        </w:tc>
        <w:tc>
          <w:tcPr>
            <w:tcW w:w="3515" w:type="dxa"/>
          </w:tcPr>
          <w:p w14:paraId="27B2812E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54.4 % de las unidades y Q 64,260.00 (70.5 % del valor del inventario), pero solo 8.6 % de las ventas</w:t>
            </w:r>
          </w:p>
        </w:tc>
        <w:tc>
          <w:tcPr>
            <w:tcW w:w="2835" w:type="dxa"/>
          </w:tcPr>
          <w:p w14:paraId="0612841A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Capital detenido en familias de baja rotación</w:t>
            </w:r>
          </w:p>
        </w:tc>
      </w:tr>
      <w:tr w:rsidR="00811DD5" w14:paraId="289FB4D3" w14:textId="77777777">
        <w:tc>
          <w:tcPr>
            <w:tcW w:w="2494" w:type="dxa"/>
          </w:tcPr>
          <w:p w14:paraId="52634FCD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Los productos más vendidos están en stock bajo</w:t>
            </w:r>
          </w:p>
        </w:tc>
        <w:tc>
          <w:tcPr>
            <w:tcW w:w="3515" w:type="dxa"/>
          </w:tcPr>
          <w:p w14:paraId="46F95DE3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Set de 6 Individuales y Funda de Almohada (10 unidades vendidas cada uno) quedan con 5 unidades</w:t>
            </w:r>
          </w:p>
        </w:tc>
        <w:tc>
          <w:tcPr>
            <w:tcW w:w="2835" w:type="dxa"/>
          </w:tcPr>
          <w:p w14:paraId="6793B550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Riesgo de no atender el próximo pedido corporativo</w:t>
            </w:r>
          </w:p>
        </w:tc>
      </w:tr>
      <w:tr w:rsidR="00811DD5" w14:paraId="17A1FFB9" w14:textId="77777777">
        <w:tc>
          <w:tcPr>
            <w:tcW w:w="2494" w:type="dxa"/>
          </w:tcPr>
          <w:p w14:paraId="11E8D8AC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Reposición en camino</w:t>
            </w:r>
          </w:p>
        </w:tc>
        <w:tc>
          <w:tcPr>
            <w:tcW w:w="3515" w:type="dxa"/>
          </w:tcPr>
          <w:p w14:paraId="2CCD060B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Incensario y Plato Policromado tienen 16 unidades entrantes por la orden P00027</w:t>
            </w:r>
          </w:p>
        </w:tc>
        <w:tc>
          <w:tcPr>
            <w:tcW w:w="2835" w:type="dxa"/>
          </w:tcPr>
          <w:p w14:paraId="506D9961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8 de los 10 productos en stock bajo aún no tienen compra</w:t>
            </w:r>
          </w:p>
        </w:tc>
      </w:tr>
      <w:tr w:rsidR="00811DD5" w14:paraId="26F5B2AA" w14:textId="77777777">
        <w:tc>
          <w:tcPr>
            <w:tcW w:w="2494" w:type="dxa"/>
          </w:tcPr>
          <w:p w14:paraId="3CDC1BBF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El canal corporativo domina</w:t>
            </w:r>
          </w:p>
        </w:tc>
        <w:tc>
          <w:tcPr>
            <w:tcW w:w="3515" w:type="dxa"/>
          </w:tcPr>
          <w:p w14:paraId="6321496C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77.3 % de las ventas; ticket corporativo de Q 3,890.00 en línea frente a Q 760.00 individual</w:t>
            </w:r>
          </w:p>
        </w:tc>
        <w:tc>
          <w:tcPr>
            <w:tcW w:w="2835" w:type="dxa"/>
          </w:tcPr>
          <w:p w14:paraId="0F0AA8AD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Las cotizaciones en línea deben priorizarse</w:t>
            </w:r>
          </w:p>
        </w:tc>
      </w:tr>
      <w:tr w:rsidR="00811DD5" w14:paraId="54303888" w14:textId="77777777">
        <w:tc>
          <w:tcPr>
            <w:tcW w:w="2494" w:type="dxa"/>
          </w:tcPr>
          <w:p w14:paraId="3AD3F7FA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La tienda en línea ya aporta</w:t>
            </w:r>
          </w:p>
        </w:tc>
        <w:tc>
          <w:tcPr>
            <w:tcW w:w="3515" w:type="dxa"/>
          </w:tcPr>
          <w:p w14:paraId="70DD11F3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39.7 % de las ventas registradas en su primer día de operación</w:t>
            </w:r>
          </w:p>
        </w:tc>
        <w:tc>
          <w:tcPr>
            <w:tcW w:w="2835" w:type="dxa"/>
          </w:tcPr>
          <w:p w14:paraId="6C069933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El canal digital es viable y debe medirse en más periodos</w:t>
            </w:r>
          </w:p>
        </w:tc>
      </w:tr>
    </w:tbl>
    <w:p w14:paraId="58F58EC0" w14:textId="77777777" w:rsidR="00811DD5" w:rsidRDefault="00811DD5"/>
    <w:p w14:paraId="5F723151" w14:textId="77777777" w:rsidR="00811DD5" w:rsidRDefault="004F7AAA">
      <w:pPr>
        <w:keepNext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Evaluación de los Objetivos SMART de la Fase 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8"/>
        <w:gridCol w:w="2377"/>
        <w:gridCol w:w="3054"/>
        <w:gridCol w:w="1359"/>
      </w:tblGrid>
      <w:tr w:rsidR="00811DD5" w14:paraId="3E527014" w14:textId="77777777">
        <w:tc>
          <w:tcPr>
            <w:tcW w:w="2041" w:type="dxa"/>
          </w:tcPr>
          <w:p w14:paraId="3ADADAE6" w14:textId="77777777" w:rsidR="00811DD5" w:rsidRDefault="004F7AAA">
            <w:r>
              <w:rPr>
                <w:rFonts w:ascii="Times New Roman" w:eastAsia="Times New Roman" w:hAnsi="Times New Roman" w:cs="Times New Roman"/>
                <w:b/>
                <w:sz w:val="18"/>
              </w:rPr>
              <w:t>Objetivo</w:t>
            </w:r>
          </w:p>
        </w:tc>
        <w:tc>
          <w:tcPr>
            <w:tcW w:w="2381" w:type="dxa"/>
          </w:tcPr>
          <w:p w14:paraId="790C87A9" w14:textId="77777777" w:rsidR="00811DD5" w:rsidRDefault="004F7AAA">
            <w:r>
              <w:rPr>
                <w:rFonts w:ascii="Times New Roman" w:eastAsia="Times New Roman" w:hAnsi="Times New Roman" w:cs="Times New Roman"/>
                <w:b/>
                <w:sz w:val="18"/>
              </w:rPr>
              <w:t>Meta</w:t>
            </w:r>
          </w:p>
        </w:tc>
        <w:tc>
          <w:tcPr>
            <w:tcW w:w="3061" w:type="dxa"/>
          </w:tcPr>
          <w:p w14:paraId="70BD63FD" w14:textId="77777777" w:rsidR="00811DD5" w:rsidRDefault="004F7AAA">
            <w:r>
              <w:rPr>
                <w:rFonts w:ascii="Times New Roman" w:eastAsia="Times New Roman" w:hAnsi="Times New Roman" w:cs="Times New Roman"/>
                <w:b/>
                <w:sz w:val="18"/>
              </w:rPr>
              <w:t>Resultado en Odoo</w:t>
            </w:r>
          </w:p>
        </w:tc>
        <w:tc>
          <w:tcPr>
            <w:tcW w:w="1361" w:type="dxa"/>
          </w:tcPr>
          <w:p w14:paraId="2CB1DC05" w14:textId="77777777" w:rsidR="00811DD5" w:rsidRDefault="004F7AAA">
            <w:r>
              <w:rPr>
                <w:rFonts w:ascii="Times New Roman" w:eastAsia="Times New Roman" w:hAnsi="Times New Roman" w:cs="Times New Roman"/>
                <w:b/>
                <w:sz w:val="18"/>
              </w:rPr>
              <w:t>Estado</w:t>
            </w:r>
          </w:p>
        </w:tc>
      </w:tr>
      <w:tr w:rsidR="00811DD5" w14:paraId="25543660" w14:textId="77777777">
        <w:tc>
          <w:tcPr>
            <w:tcW w:w="2041" w:type="dxa"/>
          </w:tcPr>
          <w:p w14:paraId="7BA274F2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1. Puesta en marcha e integración del ecosistema digital</w:t>
            </w:r>
          </w:p>
        </w:tc>
        <w:tc>
          <w:tcPr>
            <w:tcW w:w="2381" w:type="dxa"/>
          </w:tcPr>
          <w:p w14:paraId="226D6545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Tienda integrada con ERP y CRM en octubre de 2026; 30 productos; 100 % de pedidos sincronizados; 0 duplicidad</w:t>
            </w:r>
          </w:p>
        </w:tc>
        <w:tc>
          <w:tcPr>
            <w:tcW w:w="3061" w:type="dxa"/>
          </w:tcPr>
          <w:p w14:paraId="59D2DD8F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30 productos publicados; 5 de 5 pedidos web con pedido, entrega, factura y oportunidad generados; ningún cliente duplicado</w:t>
            </w:r>
          </w:p>
        </w:tc>
        <w:tc>
          <w:tcPr>
            <w:tcW w:w="1361" w:type="dxa"/>
          </w:tcPr>
          <w:p w14:paraId="098A9A75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Cumplido</w:t>
            </w:r>
          </w:p>
        </w:tc>
      </w:tr>
      <w:tr w:rsidR="00811DD5" w14:paraId="66661FF8" w14:textId="77777777">
        <w:tc>
          <w:tcPr>
            <w:tcW w:w="2041" w:type="dxa"/>
          </w:tcPr>
          <w:p w14:paraId="2AB6B95F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2. Optimización del ciclo logístico</w:t>
            </w:r>
          </w:p>
        </w:tc>
        <w:tc>
          <w:tcPr>
            <w:tcW w:w="2381" w:type="dxa"/>
          </w:tcPr>
          <w:p w14:paraId="3EF249B4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Despacho ≤ 48 horas; exactitud de inventario ≥ 98 %</w:t>
            </w:r>
          </w:p>
        </w:tc>
        <w:tc>
          <w:tcPr>
            <w:tcW w:w="3061" w:type="dxa"/>
          </w:tcPr>
          <w:p w14:paraId="70025036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Despacho máximo 10 min 20 s; exactitud 30 / 30 = 100 %</w:t>
            </w:r>
          </w:p>
        </w:tc>
        <w:tc>
          <w:tcPr>
            <w:tcW w:w="1361" w:type="dxa"/>
          </w:tcPr>
          <w:p w14:paraId="23CC0EF2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Cumplido en el periodo medido; se debe sostener 8 semanas</w:t>
            </w:r>
          </w:p>
        </w:tc>
      </w:tr>
      <w:tr w:rsidR="00811DD5" w14:paraId="2AFB0546" w14:textId="77777777">
        <w:tc>
          <w:tcPr>
            <w:tcW w:w="2041" w:type="dxa"/>
          </w:tcPr>
          <w:p w14:paraId="76E566ED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3. Crecimiento comercial y canal corporativo</w:t>
            </w:r>
          </w:p>
        </w:tc>
        <w:tc>
          <w:tcPr>
            <w:tcW w:w="2381" w:type="dxa"/>
          </w:tcPr>
          <w:p w14:paraId="59AA7946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+35 % en ventas y 8 clientes corporativos en el primer trimestre</w:t>
            </w:r>
          </w:p>
        </w:tc>
        <w:tc>
          <w:tcPr>
            <w:tcW w:w="3061" w:type="dxa"/>
          </w:tcPr>
          <w:p w14:paraId="7BFB50E9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2 clientes corporativos con compra (Q 13,510.00) y 3 oportunidades corporativas abiertas por Q 46,500.00</w:t>
            </w:r>
          </w:p>
        </w:tc>
        <w:tc>
          <w:tcPr>
            <w:tcW w:w="1361" w:type="dxa"/>
          </w:tcPr>
          <w:p w14:paraId="735BFCB8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En progreso (2 de 8)</w:t>
            </w:r>
          </w:p>
        </w:tc>
      </w:tr>
      <w:tr w:rsidR="00811DD5" w14:paraId="52904673" w14:textId="77777777">
        <w:tc>
          <w:tcPr>
            <w:tcW w:w="2041" w:type="dxa"/>
          </w:tcPr>
          <w:p w14:paraId="7B060D97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4. Fidelización y servicio postventa</w:t>
            </w:r>
          </w:p>
        </w:tc>
        <w:tc>
          <w:tcPr>
            <w:tcW w:w="2381" w:type="dxa"/>
          </w:tcPr>
          <w:p w14:paraId="32445EC8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300 clientes en el CRM y CSAT ≥ 90 % en seis meses</w:t>
            </w:r>
          </w:p>
        </w:tc>
        <w:tc>
          <w:tcPr>
            <w:tcW w:w="3061" w:type="dxa"/>
          </w:tcPr>
          <w:p w14:paraId="03F4DB21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12 clientes registrados; CSAT 100 % con promedio 4.6 / 5</w:t>
            </w:r>
          </w:p>
        </w:tc>
        <w:tc>
          <w:tcPr>
            <w:tcW w:w="1361" w:type="dxa"/>
          </w:tcPr>
          <w:p w14:paraId="63872481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CSAT cumplido; base de clientes en progreso</w:t>
            </w:r>
          </w:p>
        </w:tc>
      </w:tr>
    </w:tbl>
    <w:p w14:paraId="03EB7E9A" w14:textId="77777777" w:rsidR="00811DD5" w:rsidRDefault="00811DD5"/>
    <w:p w14:paraId="7C647EBB" w14:textId="77777777" w:rsidR="00811DD5" w:rsidRDefault="004F7AAA">
      <w:r>
        <w:rPr>
          <w:rFonts w:ascii="Times New Roman" w:eastAsia="Times New Roman" w:hAnsi="Times New Roman" w:cs="Times New Roman"/>
          <w:sz w:val="24"/>
        </w:rPr>
        <w:t>El objetivo 1, que era la condición para todos los demás, se cumplió dentro del plazo. Los objetivos 3 y 4 tienen un horizonte de tres y seis meses de operación, por lo que en esta fase se evalúa su avance. El incremento de 35 % en ventas no puede medirse todavía porque el sistema no contiene el historial de ventas manuales anterior al proyecto; se calculará al cierre del primer trimestre comparando los periodos registrados en Odoo.</w:t>
      </w:r>
    </w:p>
    <w:p w14:paraId="365ED341" w14:textId="77777777" w:rsidR="00811DD5" w:rsidRDefault="004F7AAA">
      <w:pPr>
        <w:keepNext/>
      </w:pPr>
      <w:r>
        <w:rPr>
          <w:rFonts w:ascii="Times New Roman" w:eastAsia="Times New Roman" w:hAnsi="Times New Roman" w:cs="Times New Roman"/>
          <w:b/>
          <w:sz w:val="24"/>
        </w:rPr>
        <w:t>Conclusiones</w:t>
      </w:r>
    </w:p>
    <w:p w14:paraId="6EDB4040" w14:textId="77777777" w:rsidR="00811DD5" w:rsidRDefault="004F7AAA">
      <w:r>
        <w:rPr>
          <w:rFonts w:ascii="Times New Roman" w:eastAsia="Times New Roman" w:hAnsi="Times New Roman" w:cs="Times New Roman"/>
          <w:b/>
          <w:sz w:val="24"/>
        </w:rPr>
        <w:t xml:space="preserve">1. La integración funciona sin intervención manual. </w:t>
      </w:r>
      <w:r>
        <w:rPr>
          <w:rFonts w:ascii="Times New Roman" w:eastAsia="Times New Roman" w:hAnsi="Times New Roman" w:cs="Times New Roman"/>
          <w:sz w:val="24"/>
        </w:rPr>
        <w:t>Cada compra en la tienda generó automáticamente el pedido, la reserva de inventario, la factura y la oportunidad en el CRM, y el cliente pudo consultar el estado y la factura en su portal. Esto elimina el registro en cuaderno y la verificación manual de pagos que se describieron en el diagnóstico de la Fase 1.</w:t>
      </w:r>
    </w:p>
    <w:p w14:paraId="6C3CB6B5" w14:textId="77777777" w:rsidR="00811DD5" w:rsidRDefault="004F7AAA">
      <w:r>
        <w:rPr>
          <w:rFonts w:ascii="Times New Roman" w:eastAsia="Times New Roman" w:hAnsi="Times New Roman" w:cs="Times New Roman"/>
          <w:b/>
          <w:sz w:val="24"/>
        </w:rPr>
        <w:t xml:space="preserve">2. El canal corporativo es el que más valor genera. </w:t>
      </w:r>
      <w:r>
        <w:rPr>
          <w:rFonts w:ascii="Times New Roman" w:eastAsia="Times New Roman" w:hAnsi="Times New Roman" w:cs="Times New Roman"/>
          <w:sz w:val="24"/>
        </w:rPr>
        <w:t>El ticket promedio corporativo (Q 3,890.00 en línea y Q 9,620.00 en venta directa) es entre 5 y 13 veces el individual (Q 760.00). Con solo 2 clientes corporativos se facturaron Q 13,510.00, el 77 % de las ventas, lo que confirma la prioridad del objetivo 3.</w:t>
      </w:r>
    </w:p>
    <w:p w14:paraId="703A277A" w14:textId="77777777" w:rsidR="00811DD5" w:rsidRDefault="004F7AAA">
      <w:r>
        <w:rPr>
          <w:rFonts w:ascii="Times New Roman" w:eastAsia="Times New Roman" w:hAnsi="Times New Roman" w:cs="Times New Roman"/>
          <w:b/>
          <w:sz w:val="24"/>
        </w:rPr>
        <w:t xml:space="preserve">3. La demanda no coincide con el inventario. </w:t>
      </w:r>
      <w:r>
        <w:rPr>
          <w:rFonts w:ascii="Times New Roman" w:eastAsia="Times New Roman" w:hAnsi="Times New Roman" w:cs="Times New Roman"/>
          <w:sz w:val="24"/>
        </w:rPr>
        <w:t xml:space="preserve">El Reporte de Ventas muestra que Decoración y Hogar genera el 76.9 % de la ganancia, mientras el Reporte de Inventario muestra que esa familia solo tiene el 15.9 % de las unidades y dos de sus productos más vendidos ya están en stock bajo. En cambio, Accesorios y Cuero y Textiles concentran el 70.5 % del valor del inventario con solo el 8.6 % de las ventas. Se recomienda priorizar las compras de Decoración y Hogar a la Asociación Textil Comalapa y dirigir campañas de correo a mover los textiles y artículos </w:t>
      </w:r>
      <w:r>
        <w:rPr>
          <w:rFonts w:ascii="Times New Roman" w:eastAsia="Times New Roman" w:hAnsi="Times New Roman" w:cs="Times New Roman"/>
          <w:sz w:val="24"/>
        </w:rPr>
        <w:t>de cuero.</w:t>
      </w:r>
    </w:p>
    <w:p w14:paraId="0209588D" w14:textId="77777777" w:rsidR="00811DD5" w:rsidRDefault="004F7AAA"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4. El margen bruto es saludable. </w:t>
      </w:r>
      <w:r>
        <w:rPr>
          <w:rFonts w:ascii="Times New Roman" w:eastAsia="Times New Roman" w:hAnsi="Times New Roman" w:cs="Times New Roman"/>
          <w:sz w:val="24"/>
        </w:rPr>
        <w:t>El margen de 36.3 % sobre las ventas sin IVA respeta la política de comercio justo de la Fase 1, ya que se calcula sobre el costo fijado por cada artesano.</w:t>
      </w:r>
    </w:p>
    <w:p w14:paraId="3B96DBFC" w14:textId="77777777" w:rsidR="00811DD5" w:rsidRDefault="004F7AAA">
      <w:r>
        <w:rPr>
          <w:rFonts w:ascii="Times New Roman" w:eastAsia="Times New Roman" w:hAnsi="Times New Roman" w:cs="Times New Roman"/>
          <w:b/>
          <w:sz w:val="24"/>
        </w:rPr>
        <w:t xml:space="preserve">5. La operación logística responde de inmediato. </w:t>
      </w:r>
      <w:r>
        <w:rPr>
          <w:rFonts w:ascii="Times New Roman" w:eastAsia="Times New Roman" w:hAnsi="Times New Roman" w:cs="Times New Roman"/>
          <w:sz w:val="24"/>
        </w:rPr>
        <w:t>Con existencias en bodega, los pedidos se despacharon en menos de 11 minutos y el conteo físico coincidió al 100 % con el sistema, superando las metas de 48 horas y 98 %.</w:t>
      </w:r>
    </w:p>
    <w:p w14:paraId="25822652" w14:textId="77777777" w:rsidR="00811DD5" w:rsidRDefault="004F7AAA">
      <w:r>
        <w:rPr>
          <w:rFonts w:ascii="Times New Roman" w:eastAsia="Times New Roman" w:hAnsi="Times New Roman" w:cs="Times New Roman"/>
          <w:b/>
          <w:sz w:val="24"/>
        </w:rPr>
        <w:t xml:space="preserve">6. Los clientes están satisfechos y señalan mejoras concretas. </w:t>
      </w:r>
      <w:r>
        <w:rPr>
          <w:rFonts w:ascii="Times New Roman" w:eastAsia="Times New Roman" w:hAnsi="Times New Roman" w:cs="Times New Roman"/>
          <w:sz w:val="24"/>
        </w:rPr>
        <w:t>El CSAT fue 100 % con promedio 4.6. Los comentarios piden elegir horario de entrega y precios por volumen para empresas, que se incorporan a la propuesta de escalabilidad.</w:t>
      </w:r>
    </w:p>
    <w:p w14:paraId="0D04E51E" w14:textId="77777777" w:rsidR="00811DD5" w:rsidRDefault="004F7AAA">
      <w:r>
        <w:rPr>
          <w:rFonts w:ascii="Times New Roman" w:eastAsia="Times New Roman" w:hAnsi="Times New Roman" w:cs="Times New Roman"/>
          <w:b/>
          <w:sz w:val="24"/>
        </w:rPr>
        <w:t xml:space="preserve">7. El BI convierte los datos en decisiones. </w:t>
      </w:r>
      <w:r>
        <w:rPr>
          <w:rFonts w:ascii="Times New Roman" w:eastAsia="Times New Roman" w:hAnsi="Times New Roman" w:cs="Times New Roman"/>
          <w:sz w:val="24"/>
        </w:rPr>
        <w:t>Los tableros de Metabase leen la misma base de Odoo, por lo que la gerencia ve en el momento las ventas, la ganancia, el stock bajo y los KPIs, y puede filtrarlos por fecha, canal, categoría o tipo de cliente sin depender de hojas de cálculo.</w:t>
      </w:r>
    </w:p>
    <w:p w14:paraId="0FD674C3" w14:textId="77777777" w:rsidR="00811DD5" w:rsidRDefault="004F7AAA">
      <w:r>
        <w:rPr>
          <w:rFonts w:ascii="Times New Roman" w:eastAsia="Times New Roman" w:hAnsi="Times New Roman" w:cs="Times New Roman"/>
          <w:b/>
          <w:sz w:val="24"/>
        </w:rPr>
        <w:t xml:space="preserve">8. Lo pendiente depende del tiempo de operación. </w:t>
      </w:r>
      <w:r>
        <w:rPr>
          <w:rFonts w:ascii="Times New Roman" w:eastAsia="Times New Roman" w:hAnsi="Times New Roman" w:cs="Times New Roman"/>
          <w:sz w:val="24"/>
        </w:rPr>
        <w:t>La conversión de 12.82 % proviene del tráfico de prueba, y las metas de 300 clientes y 8 clientes corporativos requieren meses de operación y las campañas de marketing.</w:t>
      </w:r>
    </w:p>
    <w:p w14:paraId="314A0D8B" w14:textId="77777777" w:rsidR="00811DD5" w:rsidRDefault="004F7AAA">
      <w:pPr>
        <w:keepNext/>
      </w:pPr>
      <w:r>
        <w:rPr>
          <w:rFonts w:ascii="Times New Roman" w:eastAsia="Times New Roman" w:hAnsi="Times New Roman" w:cs="Times New Roman"/>
          <w:b/>
          <w:sz w:val="24"/>
        </w:rPr>
        <w:t>Propuesta de Escalabilidad</w:t>
      </w:r>
    </w:p>
    <w:p w14:paraId="00F669E3" w14:textId="77777777" w:rsidR="00811DD5" w:rsidRDefault="004F7AAA">
      <w:r>
        <w:rPr>
          <w:rFonts w:ascii="Times New Roman" w:eastAsia="Times New Roman" w:hAnsi="Times New Roman" w:cs="Times New Roman"/>
          <w:sz w:val="24"/>
        </w:rPr>
        <w:t>La arquitectura en contenedores permite crecer por etapas sin cambiar de sistema. Se propone: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9"/>
        <w:gridCol w:w="4525"/>
        <w:gridCol w:w="2604"/>
      </w:tblGrid>
      <w:tr w:rsidR="00811DD5" w14:paraId="15E81CA5" w14:textId="77777777">
        <w:tc>
          <w:tcPr>
            <w:tcW w:w="1701" w:type="dxa"/>
          </w:tcPr>
          <w:p w14:paraId="0848DB85" w14:textId="77777777" w:rsidR="00811DD5" w:rsidRDefault="004F7AAA">
            <w:r>
              <w:rPr>
                <w:rFonts w:ascii="Times New Roman" w:eastAsia="Times New Roman" w:hAnsi="Times New Roman" w:cs="Times New Roman"/>
                <w:b/>
                <w:sz w:val="18"/>
              </w:rPr>
              <w:t>Etapa</w:t>
            </w:r>
          </w:p>
        </w:tc>
        <w:tc>
          <w:tcPr>
            <w:tcW w:w="4535" w:type="dxa"/>
          </w:tcPr>
          <w:p w14:paraId="6E1A3DAE" w14:textId="77777777" w:rsidR="00811DD5" w:rsidRDefault="004F7AAA">
            <w:r>
              <w:rPr>
                <w:rFonts w:ascii="Times New Roman" w:eastAsia="Times New Roman" w:hAnsi="Times New Roman" w:cs="Times New Roman"/>
                <w:b/>
                <w:sz w:val="18"/>
              </w:rPr>
              <w:t>Acción</w:t>
            </w:r>
          </w:p>
        </w:tc>
        <w:tc>
          <w:tcPr>
            <w:tcW w:w="2608" w:type="dxa"/>
          </w:tcPr>
          <w:p w14:paraId="7FBD22AC" w14:textId="77777777" w:rsidR="00811DD5" w:rsidRDefault="004F7AAA">
            <w:r>
              <w:rPr>
                <w:rFonts w:ascii="Times New Roman" w:eastAsia="Times New Roman" w:hAnsi="Times New Roman" w:cs="Times New Roman"/>
                <w:b/>
                <w:sz w:val="18"/>
              </w:rPr>
              <w:t>Motivo</w:t>
            </w:r>
          </w:p>
        </w:tc>
      </w:tr>
      <w:tr w:rsidR="00811DD5" w14:paraId="735CB0BC" w14:textId="77777777">
        <w:tc>
          <w:tcPr>
            <w:tcW w:w="1701" w:type="dxa"/>
          </w:tcPr>
          <w:p w14:paraId="049F98AC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Antes del lanzamiento</w:t>
            </w:r>
          </w:p>
        </w:tc>
        <w:tc>
          <w:tcPr>
            <w:tcW w:w="4535" w:type="dxa"/>
          </w:tcPr>
          <w:p w14:paraId="79B0B0D5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Migrar a un VPS de 4 vCPU, 8 GB de RAM y 80 GB SSD con Ubuntu Server, dominio propio y HTTPS con Certbot (presupuesto de la Fase 1: USD 1,455.00 el primer año)</w:t>
            </w:r>
          </w:p>
        </w:tc>
        <w:tc>
          <w:tcPr>
            <w:tcW w:w="2608" w:type="dxa"/>
          </w:tcPr>
          <w:p w14:paraId="0A7CDDFC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Publicar la tienda las 24 horas con conexión segura</w:t>
            </w:r>
          </w:p>
        </w:tc>
      </w:tr>
      <w:tr w:rsidR="00811DD5" w14:paraId="4870B21A" w14:textId="77777777">
        <w:tc>
          <w:tcPr>
            <w:tcW w:w="1701" w:type="dxa"/>
          </w:tcPr>
          <w:p w14:paraId="45F5123C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Antes del lanzamiento</w:t>
            </w:r>
          </w:p>
        </w:tc>
        <w:tc>
          <w:tcPr>
            <w:tcW w:w="4535" w:type="dxa"/>
          </w:tcPr>
          <w:p w14:paraId="65C95E0A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Definir la contraseña maestra del gestor de bases de datos y cerrar el acceso público a /web/database</w:t>
            </w:r>
          </w:p>
        </w:tc>
        <w:tc>
          <w:tcPr>
            <w:tcW w:w="2608" w:type="dxa"/>
          </w:tcPr>
          <w:p w14:paraId="79298217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En pruebas el gestor no está protegido</w:t>
            </w:r>
          </w:p>
        </w:tc>
      </w:tr>
      <w:tr w:rsidR="00811DD5" w14:paraId="48E949F4" w14:textId="77777777">
        <w:tc>
          <w:tcPr>
            <w:tcW w:w="1701" w:type="dxa"/>
          </w:tcPr>
          <w:p w14:paraId="266D7221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Antes del lanzamiento</w:t>
            </w:r>
          </w:p>
        </w:tc>
        <w:tc>
          <w:tcPr>
            <w:tcW w:w="4535" w:type="dxa"/>
          </w:tcPr>
          <w:p w14:paraId="4FC017EE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Reemplazar el servidor de correo de pruebas por el SMTP de la empresa</w:t>
            </w:r>
          </w:p>
        </w:tc>
        <w:tc>
          <w:tcPr>
            <w:tcW w:w="2608" w:type="dxa"/>
          </w:tcPr>
          <w:p w14:paraId="1762EB4B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Que los correos lleguen a los clientes</w:t>
            </w:r>
          </w:p>
        </w:tc>
      </w:tr>
      <w:tr w:rsidR="00811DD5" w14:paraId="33210C52" w14:textId="77777777">
        <w:tc>
          <w:tcPr>
            <w:tcW w:w="1701" w:type="dxa"/>
          </w:tcPr>
          <w:p w14:paraId="38C6E7D6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Antes del lanzamiento</w:t>
            </w:r>
          </w:p>
        </w:tc>
        <w:tc>
          <w:tcPr>
            <w:tcW w:w="4535" w:type="dxa"/>
          </w:tcPr>
          <w:p w14:paraId="41B8E08C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Reemplazar el pago de prueba por una pasarela real (NeoNet o VisaNet) y conectar la facturación electrónica FEL de la SAT mediante un certificador</w:t>
            </w:r>
          </w:p>
        </w:tc>
        <w:tc>
          <w:tcPr>
            <w:tcW w:w="2608" w:type="dxa"/>
          </w:tcPr>
          <w:p w14:paraId="6C8B3299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Cobros reales y cumplimiento tributario</w:t>
            </w:r>
          </w:p>
        </w:tc>
      </w:tr>
      <w:tr w:rsidR="00811DD5" w14:paraId="750281BE" w14:textId="77777777">
        <w:tc>
          <w:tcPr>
            <w:tcW w:w="1701" w:type="dxa"/>
          </w:tcPr>
          <w:p w14:paraId="15E27FA2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Primer trimestre</w:t>
            </w:r>
          </w:p>
        </w:tc>
        <w:tc>
          <w:tcPr>
            <w:tcW w:w="4535" w:type="dxa"/>
          </w:tcPr>
          <w:p w14:paraId="2D471529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Respaldos automáticos diarios de la base y del filestore, con una copia fuera del servidor</w:t>
            </w:r>
          </w:p>
        </w:tc>
        <w:tc>
          <w:tcPr>
            <w:tcW w:w="2608" w:type="dxa"/>
          </w:tcPr>
          <w:p w14:paraId="1B039F49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Proteger la información ante fallas</w:t>
            </w:r>
          </w:p>
        </w:tc>
      </w:tr>
      <w:tr w:rsidR="00811DD5" w14:paraId="12B09E61" w14:textId="77777777">
        <w:tc>
          <w:tcPr>
            <w:tcW w:w="1701" w:type="dxa"/>
          </w:tcPr>
          <w:p w14:paraId="7C384823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Primer trimestre</w:t>
            </w:r>
          </w:p>
        </w:tc>
        <w:tc>
          <w:tcPr>
            <w:tcW w:w="4535" w:type="dxa"/>
          </w:tcPr>
          <w:p w14:paraId="16345922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Puntos de reposición para los 30 productos, empezando por Decoración y Hogar</w:t>
            </w:r>
          </w:p>
        </w:tc>
        <w:tc>
          <w:tcPr>
            <w:tcW w:w="2608" w:type="dxa"/>
          </w:tcPr>
          <w:p w14:paraId="714C2EE9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Evitar quiebres de stock en la familia más vendida</w:t>
            </w:r>
          </w:p>
        </w:tc>
      </w:tr>
      <w:tr w:rsidR="00811DD5" w14:paraId="7EBBCC28" w14:textId="77777777">
        <w:tc>
          <w:tcPr>
            <w:tcW w:w="1701" w:type="dxa"/>
          </w:tcPr>
          <w:p w14:paraId="1CB89AED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Primer trimestre</w:t>
            </w:r>
          </w:p>
        </w:tc>
        <w:tc>
          <w:tcPr>
            <w:tcW w:w="4535" w:type="dxa"/>
          </w:tcPr>
          <w:p w14:paraId="711C2599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Lista de precios por volumen para clientes corporativos y selección de horario de entrega</w:t>
            </w:r>
          </w:p>
        </w:tc>
        <w:tc>
          <w:tcPr>
            <w:tcW w:w="2608" w:type="dxa"/>
          </w:tcPr>
          <w:p w14:paraId="5FDB64ED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Responder a los comentarios de la encuesta</w:t>
            </w:r>
          </w:p>
        </w:tc>
      </w:tr>
      <w:tr w:rsidR="00811DD5" w14:paraId="620E96C8" w14:textId="77777777">
        <w:tc>
          <w:tcPr>
            <w:tcW w:w="1701" w:type="dxa"/>
          </w:tcPr>
          <w:p w14:paraId="05942899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Primer trimestre</w:t>
            </w:r>
          </w:p>
        </w:tc>
        <w:tc>
          <w:tcPr>
            <w:tcW w:w="4535" w:type="dxa"/>
          </w:tcPr>
          <w:p w14:paraId="1FE6380C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Envío automático de la encuesta al validar cada entrega</w:t>
            </w:r>
          </w:p>
        </w:tc>
        <w:tc>
          <w:tcPr>
            <w:tcW w:w="2608" w:type="dxa"/>
          </w:tcPr>
          <w:p w14:paraId="5E00DC41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Medir el CSAT de forma continua</w:t>
            </w:r>
          </w:p>
        </w:tc>
      </w:tr>
      <w:tr w:rsidR="00811DD5" w14:paraId="3BAA599A" w14:textId="77777777">
        <w:tc>
          <w:tcPr>
            <w:tcW w:w="1701" w:type="dxa"/>
          </w:tcPr>
          <w:p w14:paraId="64BB6972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>Primer trimestre</w:t>
            </w:r>
          </w:p>
        </w:tc>
        <w:tc>
          <w:tcPr>
            <w:tcW w:w="4535" w:type="dxa"/>
          </w:tcPr>
          <w:p w14:paraId="04C91EBF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Suscripciones de Metabase que envíen por correo el Reporte de Inventario cada semana y alertas cuando un producto llegue al punto de reposición</w:t>
            </w:r>
          </w:p>
        </w:tc>
        <w:tc>
          <w:tcPr>
            <w:tcW w:w="2608" w:type="dxa"/>
          </w:tcPr>
          <w:p w14:paraId="32AD412E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Anticipar las compras con base en datos</w:t>
            </w:r>
          </w:p>
        </w:tc>
      </w:tr>
      <w:tr w:rsidR="00811DD5" w14:paraId="2508E838" w14:textId="77777777">
        <w:tc>
          <w:tcPr>
            <w:tcW w:w="1701" w:type="dxa"/>
          </w:tcPr>
          <w:p w14:paraId="113C4543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6 a 12 meses</w:t>
            </w:r>
          </w:p>
        </w:tc>
        <w:tc>
          <w:tcPr>
            <w:tcW w:w="4535" w:type="dxa"/>
          </w:tcPr>
          <w:p w14:paraId="5039C66C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Configurar workers de Odoo y separar la base de datos en su propio servidor cuando aumenten las visitas</w:t>
            </w:r>
          </w:p>
        </w:tc>
        <w:tc>
          <w:tcPr>
            <w:tcW w:w="2608" w:type="dxa"/>
          </w:tcPr>
          <w:p w14:paraId="537E0815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Soportar más usuarios simultáneos</w:t>
            </w:r>
          </w:p>
        </w:tc>
      </w:tr>
      <w:tr w:rsidR="00811DD5" w14:paraId="1F02F95C" w14:textId="77777777">
        <w:tc>
          <w:tcPr>
            <w:tcW w:w="1701" w:type="dxa"/>
          </w:tcPr>
          <w:p w14:paraId="61C176F8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6 a 12 meses</w:t>
            </w:r>
          </w:p>
        </w:tc>
        <w:tc>
          <w:tcPr>
            <w:tcW w:w="4535" w:type="dxa"/>
          </w:tcPr>
          <w:p w14:paraId="55FE0500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Sitio en inglés con precios en dólares y atención por WhatsApp integrada al CRM</w:t>
            </w:r>
          </w:p>
        </w:tc>
        <w:tc>
          <w:tcPr>
            <w:tcW w:w="2608" w:type="dxa"/>
          </w:tcPr>
          <w:p w14:paraId="0D12A2FA" w14:textId="77777777" w:rsidR="00811DD5" w:rsidRDefault="004F7AAA">
            <w:r>
              <w:rPr>
                <w:rFonts w:ascii="Times New Roman" w:eastAsia="Times New Roman" w:hAnsi="Times New Roman" w:cs="Times New Roman"/>
                <w:sz w:val="18"/>
              </w:rPr>
              <w:t>Aprovechar la demanda internacional de productos artesanales</w:t>
            </w:r>
          </w:p>
        </w:tc>
      </w:tr>
    </w:tbl>
    <w:p w14:paraId="5024FC2A" w14:textId="77777777" w:rsidR="00811DD5" w:rsidRDefault="00811DD5"/>
    <w:sectPr w:rsidR="00811D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3E6"/>
    <w:multiLevelType w:val="multilevel"/>
    <w:tmpl w:val="D276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404EB"/>
    <w:multiLevelType w:val="multilevel"/>
    <w:tmpl w:val="D58257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85971"/>
    <w:multiLevelType w:val="multilevel"/>
    <w:tmpl w:val="0B1A4E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CD47DC"/>
    <w:multiLevelType w:val="multilevel"/>
    <w:tmpl w:val="0F9A09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0113A5"/>
    <w:multiLevelType w:val="multilevel"/>
    <w:tmpl w:val="BA44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6220D"/>
    <w:multiLevelType w:val="multilevel"/>
    <w:tmpl w:val="FD764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233A2E"/>
    <w:multiLevelType w:val="multilevel"/>
    <w:tmpl w:val="6460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6315118">
    <w:abstractNumId w:val="4"/>
  </w:num>
  <w:num w:numId="2" w16cid:durableId="1965235663">
    <w:abstractNumId w:val="6"/>
  </w:num>
  <w:num w:numId="3" w16cid:durableId="1550612220">
    <w:abstractNumId w:val="2"/>
  </w:num>
  <w:num w:numId="4" w16cid:durableId="467363023">
    <w:abstractNumId w:val="5"/>
  </w:num>
  <w:num w:numId="5" w16cid:durableId="33120118">
    <w:abstractNumId w:val="1"/>
  </w:num>
  <w:num w:numId="6" w16cid:durableId="1023021190">
    <w:abstractNumId w:val="3"/>
  </w:num>
  <w:num w:numId="7" w16cid:durableId="142085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53"/>
    <w:rsid w:val="001A7453"/>
    <w:rsid w:val="002749FC"/>
    <w:rsid w:val="0030550A"/>
    <w:rsid w:val="0033477F"/>
    <w:rsid w:val="004F7AAA"/>
    <w:rsid w:val="00811DD5"/>
    <w:rsid w:val="00A97388"/>
    <w:rsid w:val="00EA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0AFBE15"/>
  <w15:chartTrackingRefBased/>
  <w15:docId w15:val="{E37DDE00-CCFE-4942-BA9C-14CFCCBE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A74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paragraph" w:styleId="Ttulo3">
    <w:name w:val="heading 3"/>
    <w:basedOn w:val="Normal"/>
    <w:link w:val="Ttulo3Car"/>
    <w:uiPriority w:val="9"/>
    <w:qFormat/>
    <w:rsid w:val="001A74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A7453"/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1A7453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1A7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CdigoHTML">
    <w:name w:val="HTML Code"/>
    <w:basedOn w:val="Fuentedeprrafopredeter"/>
    <w:uiPriority w:val="99"/>
    <w:semiHidden/>
    <w:unhideWhenUsed/>
    <w:rsid w:val="001A745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1A7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68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9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0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4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1376</Words>
  <Characters>6621</Characters>
  <Application>Microsoft Office Word</Application>
  <DocSecurity>0</DocSecurity>
  <Lines>228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Canú Xico</dc:creator>
  <cp:keywords/>
  <dc:description/>
  <cp:lastModifiedBy>Carlos Perez</cp:lastModifiedBy>
  <cp:revision>2</cp:revision>
  <cp:lastPrinted>2026-10-21T23:21:00Z</cp:lastPrinted>
  <dcterms:created xsi:type="dcterms:W3CDTF">2026-10-05T02:48:00Z</dcterms:created>
  <dcterms:modified xsi:type="dcterms:W3CDTF">2026-10-21T23:21:00Z</dcterms:modified>
</cp:coreProperties>
</file>