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2A3F5C"/>
          <w:sz w:val="68"/>
        </w:rPr>
        <w:t>CRYPTOPULSE ANALYTICS</w:t>
      </w:r>
    </w:p>
    <w:p>
      <w:pPr>
        <w:jc w:val="center"/>
      </w:pPr>
      <w:r>
        <w:rPr>
          <w:color w:val="5A6B7A"/>
          <w:sz w:val="32"/>
        </w:rPr>
        <w:t>Dashboard de analítica de mercado cripto (BTC / ETH / SOL)</w:t>
      </w:r>
    </w:p>
    <w:p>
      <w:pPr>
        <w:jc w:val="center"/>
      </w:pPr>
      <w:r>
        <w:rPr>
          <w:color w:val="5A6B7A"/>
          <w:sz w:val="32"/>
        </w:rPr>
        <w:t>como capa de observabilidad para el robot de inversión de ProDev</w:t>
      </w:r>
    </w:p>
    <w:p/>
    <w:p/>
    <w:p>
      <w:pPr>
        <w:jc w:val="center"/>
      </w:pPr>
      <w:r>
        <w:rPr>
          <w:b/>
          <w:color w:val="1C2733"/>
          <w:sz w:val="26"/>
        </w:rPr>
        <w:t>INFORME DE PROYECTO</w:t>
      </w:r>
    </w:p>
    <w:p/>
    <w:p/>
    <w:p/>
    <w:p/>
    <w:p/>
    <w:p/>
    <w:tbl>
      <w:tblPr>
        <w:tblW w:type="auto" w:w="0"/>
        <w:jc w:val="center"/>
        <w:tblLook w:firstColumn="1" w:firstRow="1" w:lastColumn="0" w:lastRow="0" w:noHBand="0" w:noVBand="1" w:val="04A0"/>
      </w:tblPr>
      <w:tblGrid>
        <w:gridCol w:w="4649"/>
        <w:gridCol w:w="4649"/>
      </w:tblGrid>
      <w:tr>
        <w:tc>
          <w:tcPr>
            <w:tcW w:type="dxa" w:w="2041"/>
          </w:tcPr>
          <w:p>
            <w:r>
              <w:rPr>
                <w:b/>
                <w:color w:val="2A3F5C"/>
                <w:sz w:val="22"/>
              </w:rPr>
              <w:t>Preparado para:</w:t>
            </w:r>
          </w:p>
        </w:tc>
        <w:tc>
          <w:tcPr>
            <w:tcW w:type="dxa" w:w="6520"/>
          </w:tcPr>
          <w:p>
            <w:r>
              <w:rPr>
                <w:color w:val="1C2733"/>
                <w:sz w:val="22"/>
              </w:rPr>
              <w:t>ProDev — Soluciones Tecnológicas (robot de inversión Binance + metales)</w:t>
            </w:r>
          </w:p>
        </w:tc>
      </w:tr>
      <w:tr>
        <w:tc>
          <w:tcPr>
            <w:tcW w:type="dxa" w:w="2041"/>
          </w:tcPr>
          <w:p>
            <w:r>
              <w:rPr>
                <w:b/>
                <w:color w:val="2A3F5C"/>
                <w:sz w:val="22"/>
              </w:rPr>
              <w:t>Preparado por:</w:t>
            </w:r>
          </w:p>
        </w:tc>
        <w:tc>
          <w:tcPr>
            <w:tcW w:type="dxa" w:w="6520"/>
          </w:tcPr>
          <w:p>
            <w:r>
              <w:rPr>
                <w:color w:val="1C2733"/>
                <w:sz w:val="22"/>
              </w:rPr>
              <w:t>Luis Andrés Gutiérrez González</w:t>
            </w:r>
          </w:p>
        </w:tc>
      </w:tr>
      <w:tr>
        <w:tc>
          <w:tcPr>
            <w:tcW w:type="dxa" w:w="2041"/>
          </w:tcPr>
          <w:p>
            <w:r>
              <w:rPr>
                <w:b/>
                <w:color w:val="2A3F5C"/>
                <w:sz w:val="22"/>
              </w:rPr>
              <w:t>Universidad:</w:t>
            </w:r>
          </w:p>
        </w:tc>
        <w:tc>
          <w:tcPr>
            <w:tcW w:type="dxa" w:w="6520"/>
          </w:tcPr>
          <w:p>
            <w:r>
              <w:rPr>
                <w:color w:val="1C2733"/>
                <w:sz w:val="22"/>
              </w:rPr>
              <w:t>Universidad de las Américas</w:t>
            </w:r>
          </w:p>
        </w:tc>
      </w:tr>
      <w:tr>
        <w:tc>
          <w:tcPr>
            <w:tcW w:type="dxa" w:w="2041"/>
          </w:tcPr>
          <w:p>
            <w:r>
              <w:rPr>
                <w:b/>
                <w:color w:val="2A3F5C"/>
                <w:sz w:val="22"/>
              </w:rPr>
              <w:t>Curso:</w:t>
            </w:r>
          </w:p>
        </w:tc>
        <w:tc>
          <w:tcPr>
            <w:tcW w:type="dxa" w:w="6520"/>
          </w:tcPr>
          <w:p>
            <w:r>
              <w:rPr>
                <w:color w:val="1C2733"/>
                <w:sz w:val="22"/>
              </w:rPr>
              <w:t>Tópicos de Data Science 1</w:t>
            </w:r>
          </w:p>
        </w:tc>
      </w:tr>
      <w:tr>
        <w:tc>
          <w:tcPr>
            <w:tcW w:type="dxa" w:w="2041"/>
          </w:tcPr>
          <w:p>
            <w:r>
              <w:rPr>
                <w:b/>
                <w:color w:val="2A3F5C"/>
                <w:sz w:val="22"/>
              </w:rPr>
              <w:t>Trabajo:</w:t>
            </w:r>
          </w:p>
        </w:tc>
        <w:tc>
          <w:tcPr>
            <w:tcW w:type="dxa" w:w="6520"/>
          </w:tcPr>
          <w:p>
            <w:r>
              <w:rPr>
                <w:color w:val="1C2733"/>
                <w:sz w:val="22"/>
              </w:rPr>
              <w:t>Trabajo recuperativo — Diseño y prototipo de dashboard analítico</w:t>
            </w:r>
          </w:p>
        </w:tc>
      </w:tr>
      <w:tr>
        <w:tc>
          <w:tcPr>
            <w:tcW w:type="dxa" w:w="2041"/>
          </w:tcPr>
          <w:p>
            <w:r>
              <w:rPr>
                <w:b/>
                <w:color w:val="2A3F5C"/>
                <w:sz w:val="22"/>
              </w:rPr>
              <w:t>Fecha:</w:t>
            </w:r>
          </w:p>
        </w:tc>
        <w:tc>
          <w:tcPr>
            <w:tcW w:type="dxa" w:w="6520"/>
          </w:tcPr>
          <w:p>
            <w:r>
              <w:rPr>
                <w:color w:val="1C2733"/>
                <w:sz w:val="22"/>
              </w:rPr>
              <w:t>04 de agosto de 2026</w:t>
            </w:r>
          </w:p>
        </w:tc>
      </w:tr>
    </w:tbl>
    <w:p>
      <w:r>
        <w:br w:type="page"/>
      </w:r>
    </w:p>
    <w:p>
      <w:pPr>
        <w:pStyle w:val="Heading1"/>
      </w:pPr>
      <w:r>
        <w:t>1. Proyecto: contexto y problema de negocio</w:t>
      </w:r>
    </w:p>
    <w:p>
      <w:pPr>
        <w:pStyle w:val="Heading2"/>
      </w:pPr>
      <w:r>
        <w:t>1.1 Organización o industria analizada</w:t>
      </w:r>
    </w:p>
    <w:p>
      <w:r>
        <w:t>ProDev es una empresa de soluciones tecnológicas (fintech) que desarrolla productos de software para el sector financiero. Como antecedente del caso de negocio — y solo como contexto adicional, no como el objeto de este proyecto —, ProDev construye y mejora de forma continua un robot de inversión propio, que opera en Binance sobre criptoactivos y en una plataforma adicional sobre metales preciosos. Este antecedente explica por qué el mercado cripto es relevante para la empresa, pero el proyecto que se documenta en este informe es independiente del robot.</w:t>
      </w:r>
    </w:p>
    <w:p>
      <w:r>
        <w:t>El proyecto es CryptoPulse Analytics: un dashboard propio y de bajo costo (infraestructura en capa gratuita de AWS) que entrega a ProDev una vista unificada de precio, riesgo y momentum del mercado de BTC, ETH y SOL. Es un producto de analítica que aporta valor por sí mismo — como herramienta de monitoreo y reporting de mercado —, sin requerir terminales profesionales de pago (Bloomberg, Kaiko, Glassnode Enterprise) y sin depender de ninguna integración con el robot de inversión.</w:t>
      </w:r>
    </w:p>
    <w:p>
      <w:pPr>
        <w:pStyle w:val="Heading2"/>
      </w:pPr>
      <w:r>
        <w:t>1.2 Problema o necesidad de negocio</w:t>
      </w:r>
    </w:p>
    <w:p>
      <w:r>
        <w:t>Hoy ProDev no cuenta con una herramienta propia para monitorear de forma consolidada el mercado de los criptoactivos en los que tiene interés como empresa: la revisión se hace manualmente en varios exchanges y con planillas desactualizadas, sin una vista unificada de precio, riesgo (volatilidad y drawdown) y momentum (RSI) por activo. Esto limita a la empresa en tres frentes concretos:</w:t>
      </w:r>
    </w:p>
    <w:p>
      <w:pPr>
        <w:pStyle w:val="ListBullet"/>
      </w:pPr>
      <w:r>
        <w:rPr>
          <w:b/>
        </w:rPr>
        <w:t xml:space="preserve">Reporting: </w:t>
      </w:r>
      <w:r>
        <w:t>informar a gerencia, clientes e inversionistas sobre el comportamiento del mercado cripto exige trabajo manual repetido cada vez, sin una fuente única de verdad.</w:t>
      </w:r>
    </w:p>
    <w:p>
      <w:pPr>
        <w:pStyle w:val="ListBullet"/>
      </w:pPr>
      <w:r>
        <w:rPr>
          <w:b/>
        </w:rPr>
        <w:t xml:space="preserve">Gestión de riesgo: </w:t>
      </w:r>
      <w:r>
        <w:t>sin volatilidad y drawdown consolidados por activo, es difícil evaluar de forma objetiva y comparable qué tan riesgoso está el mercado en un momento dado.</w:t>
      </w:r>
    </w:p>
    <w:p>
      <w:pPr>
        <w:pStyle w:val="ListBullet"/>
      </w:pPr>
      <w:r>
        <w:rPr>
          <w:b/>
        </w:rPr>
        <w:t xml:space="preserve">Activo de datos propio: </w:t>
      </w:r>
      <w:r>
        <w:t>ProDev no tiene un pipeline ni una base de datos de mercado propia y reutilizable, lo que la hace depender de revisiones puntuales en vez de un activo de datos consolidado.</w:t>
      </w:r>
    </w:p>
    <w:p>
      <w:r>
        <w:t>CryptoPulse Analytics resuelve esta necesidad como producto de analítica de mercado independiente. Alcance: cubre BTC/ETH/SOL — los activos más relevantes del mercado cripto y, como dato adicional del caso de negocio, los mismos que opera el robot de inversión de ProDev en Binance —, pero el dashboard funciona con fuentes públicas de mercado (Hugging Face y CoinGecko) y no depende de datos internos del robot ni de la plataforma de metales. Esa integración es opcional y queda como posible extensión futura (ver §6), no como requisito del proyecto actual.</w:t>
      </w:r>
    </w:p>
    <w:p>
      <w:pPr>
        <w:pStyle w:val="Heading2"/>
      </w:pPr>
      <w:r>
        <w:t>1.3 Usuarios o stakeholders del dashboard</w:t>
      </w:r>
    </w:p>
    <w:tbl>
      <w:tblPr>
        <w:tblW w:type="auto" w:w="0"/>
        <w:jc w:val="center"/>
        <w:tblLayout w:type="autofit"/>
        <w:tblLook w:firstColumn="1" w:firstRow="1" w:lastColumn="0" w:lastRow="0" w:noHBand="0" w:noVBand="1" w:val="04A0"/>
        <w:tblBorders>
          <w:top w:val="single" w:sz="4" w:space="0" w:color="C7D0D8"/>
          <w:left w:val="single" w:sz="4" w:space="0" w:color="C7D0D8"/>
          <w:bottom w:val="single" w:sz="4" w:space="0" w:color="C7D0D8"/>
          <w:right w:val="single" w:sz="4" w:space="0" w:color="C7D0D8"/>
          <w:insideH w:val="single" w:sz="4" w:space="0" w:color="C7D0D8"/>
          <w:insideV w:val="single" w:sz="4" w:space="0" w:color="C7D0D8"/>
        </w:tblBorders>
      </w:tblPr>
      <w:tblGrid>
        <w:gridCol w:w="4649"/>
        <w:gridCol w:w="4649"/>
      </w:tblGrid>
      <w:tr>
        <w:tc>
          <w:tcPr>
            <w:tcW w:type="dxa" w:w="3402"/>
            <w:shd w:val="clear" w:color="auto" w:fill="2A3F5C"/>
          </w:tcPr>
          <w:p>
            <w:pPr>
              <w:jc w:val="center"/>
            </w:pPr>
            <w:r/>
            <w:r>
              <w:rPr>
                <w:b/>
                <w:color w:val="FFFFFF"/>
                <w:sz w:val="19"/>
              </w:rPr>
              <w:t>Stakeholder</w:t>
            </w:r>
          </w:p>
        </w:tc>
        <w:tc>
          <w:tcPr>
            <w:tcW w:type="dxa" w:w="5953"/>
            <w:shd w:val="clear" w:color="auto" w:fill="2A3F5C"/>
          </w:tcPr>
          <w:p>
            <w:pPr>
              <w:jc w:val="center"/>
            </w:pPr>
            <w:r/>
            <w:r>
              <w:rPr>
                <w:b/>
                <w:color w:val="FFFFFF"/>
                <w:sz w:val="19"/>
              </w:rPr>
              <w:t>Necesidad frente al dashboard</w:t>
            </w:r>
          </w:p>
        </w:tc>
      </w:tr>
      <w:tr>
        <w:tc>
          <w:tcPr>
            <w:tcW w:type="dxa" w:w="3402"/>
          </w:tcPr>
          <w:p>
            <w:r/>
            <w:r>
              <w:rPr>
                <w:color w:val="1C2733"/>
                <w:sz w:val="19"/>
              </w:rPr>
              <w:t>Gerencia / liderazgo de producto de ProDev</w:t>
            </w:r>
          </w:p>
        </w:tc>
        <w:tc>
          <w:tcPr>
            <w:tcW w:type="dxa" w:w="5953"/>
          </w:tcPr>
          <w:p>
            <w:r/>
            <w:r>
              <w:rPr>
                <w:color w:val="1C2733"/>
                <w:sz w:val="19"/>
              </w:rPr>
              <w:t>Vista ejecutiva del mercado cripto para reportar a inversionistas y clientes de la empresa</w:t>
            </w:r>
          </w:p>
        </w:tc>
      </w:tr>
      <w:tr>
        <w:tc>
          <w:tcPr>
            <w:tcW w:type="dxa" w:w="3402"/>
            <w:shd w:val="clear" w:color="auto" w:fill="F4F7FA"/>
          </w:tcPr>
          <w:p>
            <w:r/>
            <w:r>
              <w:rPr>
                <w:color w:val="1C2733"/>
                <w:sz w:val="19"/>
              </w:rPr>
              <w:t>Equipo de análisis de mercado / riesgo</w:t>
            </w:r>
          </w:p>
        </w:tc>
        <w:tc>
          <w:tcPr>
            <w:tcW w:type="dxa" w:w="5953"/>
            <w:shd w:val="clear" w:color="auto" w:fill="F4F7FA"/>
          </w:tcPr>
          <w:p>
            <w:r/>
            <w:r>
              <w:rPr>
                <w:color w:val="1C2733"/>
                <w:sz w:val="19"/>
              </w:rPr>
              <w:t>Monitorear volatilidad (30 días) y máximo drawdown por activo de forma consolidada</w:t>
            </w:r>
          </w:p>
        </w:tc>
      </w:tr>
      <w:tr>
        <w:tc>
          <w:tcPr>
            <w:tcW w:type="dxa" w:w="3402"/>
          </w:tcPr>
          <w:p>
            <w:r/>
            <w:r>
              <w:rPr>
                <w:color w:val="1C2733"/>
                <w:sz w:val="19"/>
              </w:rPr>
              <w:t>Equipo de datos / plataforma</w:t>
            </w:r>
          </w:p>
        </w:tc>
        <w:tc>
          <w:tcPr>
            <w:tcW w:type="dxa" w:w="5953"/>
          </w:tcPr>
          <w:p>
            <w:r/>
            <w:r>
              <w:rPr>
                <w:color w:val="1C2733"/>
                <w:sz w:val="19"/>
              </w:rPr>
              <w:t>Mantener el pipeline de ingesta, la infraestructura AWS y la calidad de los datos</w:t>
            </w:r>
          </w:p>
        </w:tc>
      </w:tr>
      <w:tr>
        <w:tc>
          <w:tcPr>
            <w:tcW w:type="dxa" w:w="3402"/>
            <w:shd w:val="clear" w:color="auto" w:fill="F4F7FA"/>
          </w:tcPr>
          <w:p>
            <w:r/>
            <w:r>
              <w:rPr>
                <w:color w:val="1C2733"/>
                <w:sz w:val="19"/>
              </w:rPr>
              <w:t>Equipo del robot de inversión (uso opcional)</w:t>
            </w:r>
          </w:p>
        </w:tc>
        <w:tc>
          <w:tcPr>
            <w:tcW w:type="dxa" w:w="5953"/>
            <w:shd w:val="clear" w:color="auto" w:fill="F4F7FA"/>
          </w:tcPr>
          <w:p>
            <w:r/>
            <w:r>
              <w:rPr>
                <w:color w:val="1C2733"/>
                <w:sz w:val="19"/>
              </w:rPr>
              <w:t>Puede usar el dashboard como contexto adicional de mercado si lo desea, sin que el robot dependa de él</w:t>
            </w:r>
          </w:p>
        </w:tc>
      </w:tr>
      <w:tr>
        <w:tc>
          <w:tcPr>
            <w:tcW w:type="dxa" w:w="3402"/>
          </w:tcPr>
          <w:p>
            <w:r/>
            <w:r>
              <w:rPr>
                <w:color w:val="1C2733"/>
                <w:sz w:val="19"/>
              </w:rPr>
              <w:t>Clientes de ProDev (reporting, a futuro)</w:t>
            </w:r>
          </w:p>
        </w:tc>
        <w:tc>
          <w:tcPr>
            <w:tcW w:type="dxa" w:w="5953"/>
          </w:tcPr>
          <w:p>
            <w:r/>
            <w:r>
              <w:rPr>
                <w:color w:val="1C2733"/>
                <w:sz w:val="19"/>
              </w:rPr>
              <w:t>Entender el desempeño reciente del mercado cripto en el que la empresa tiene interés</w:t>
            </w:r>
          </w:p>
        </w:tc>
      </w:tr>
    </w:tbl>
    <w:p>
      <w:pPr>
        <w:pStyle w:val="Heading2"/>
      </w:pPr>
      <w:r>
        <w:t>1.4 Preguntas de negocio que el dashboard permite responder</w:t>
      </w:r>
    </w:p>
    <w:p>
      <w:pPr>
        <w:pStyle w:val="ListBullet"/>
      </w:pPr>
      <w:r>
        <w:t>¿Cuál es el precio actual de BTC/ETH/SOL y cómo varió en las últimas 24 horas?</w:t>
      </w:r>
    </w:p>
    <w:p>
      <w:pPr>
        <w:pStyle w:val="ListBullet"/>
      </w:pPr>
      <w:r>
        <w:t>¿Qué tan volátil (riesgoso) está cada activo en la ventana reciente (30 días)?</w:t>
      </w:r>
    </w:p>
    <w:p>
      <w:pPr>
        <w:pStyle w:val="ListBullet"/>
      </w:pPr>
      <w:r>
        <w:t>¿Está el activo en zona de sobrecompra o sobreventa (RSI) que sugiera un cambio de régimen de mercado?</w:t>
      </w:r>
    </w:p>
    <w:p>
      <w:pPr>
        <w:pStyle w:val="ListBullet"/>
      </w:pPr>
      <w:r>
        <w:t>¿Cuál ha sido la caída máxima (drawdown) de cada activo desde su máximo histórico hasta hoy?</w:t>
      </w:r>
    </w:p>
    <w:p>
      <w:pPr>
        <w:pStyle w:val="ListBullet"/>
      </w:pPr>
      <w:r>
        <w:t>¿Cómo se compara el retorno acumulado de BTC, ETH y SOL en un período dado?</w:t>
      </w:r>
    </w:p>
    <w:p>
      <w:pPr>
        <w:pStyle w:val="ListBullet"/>
      </w:pPr>
      <w:r>
        <w:t>¿Qué tan correlacionados están los movimientos diarios entre los tres activos — relevante para decisiones de diversificación?</w:t>
      </w:r>
    </w:p>
    <w:p>
      <w:pPr>
        <w:pStyle w:val="ListBullet"/>
      </w:pPr>
      <w:r>
        <w:t>¿Qué porcentaje de la capitalización de mercado conjunta concentra cada activo?</w:t>
      </w:r>
    </w:p>
    <w:p>
      <w:r>
        <w:br w:type="page"/>
      </w:r>
    </w:p>
    <w:p>
      <w:pPr>
        <w:pStyle w:val="Heading1"/>
      </w:pPr>
      <w:r>
        <w:t>2. KPIs y métricas</w:t>
      </w:r>
    </w:p>
    <w:p>
      <w:r>
        <w:t>Se definen 7 KPIs — más del mínimo de 3 solicitado — para cubrir las cuatro dimensiones que el equipo de ProDev necesita monitorear en cada sesión de revisión del robot: precio, riesgo, momentum y concentración de mercado.</w:t>
      </w:r>
    </w:p>
    <w:tbl>
      <w:tblPr>
        <w:tblW w:type="auto" w:w="0"/>
        <w:jc w:val="center"/>
        <w:tblLayout w:type="autofit"/>
        <w:tblLook w:firstColumn="1" w:firstRow="1" w:lastColumn="0" w:lastRow="0" w:noHBand="0" w:noVBand="1" w:val="04A0"/>
        <w:tblBorders>
          <w:top w:val="single" w:sz="4" w:space="0" w:color="C7D0D8"/>
          <w:left w:val="single" w:sz="4" w:space="0" w:color="C7D0D8"/>
          <w:bottom w:val="single" w:sz="4" w:space="0" w:color="C7D0D8"/>
          <w:right w:val="single" w:sz="4" w:space="0" w:color="C7D0D8"/>
          <w:insideH w:val="single" w:sz="4" w:space="0" w:color="C7D0D8"/>
          <w:insideV w:val="single" w:sz="4" w:space="0" w:color="C7D0D8"/>
        </w:tblBorders>
      </w:tblPr>
      <w:tblGrid>
        <w:gridCol w:w="1860"/>
        <w:gridCol w:w="1860"/>
        <w:gridCol w:w="1860"/>
        <w:gridCol w:w="1860"/>
        <w:gridCol w:w="1860"/>
      </w:tblGrid>
      <w:tr>
        <w:tc>
          <w:tcPr>
            <w:tcW w:type="dxa" w:w="1871"/>
            <w:shd w:val="clear" w:color="auto" w:fill="2A3F5C"/>
          </w:tcPr>
          <w:p>
            <w:pPr>
              <w:jc w:val="center"/>
            </w:pPr>
            <w:r/>
            <w:r>
              <w:rPr>
                <w:b/>
                <w:color w:val="FFFFFF"/>
                <w:sz w:val="18"/>
              </w:rPr>
              <w:t>KPI</w:t>
            </w:r>
          </w:p>
        </w:tc>
        <w:tc>
          <w:tcPr>
            <w:tcW w:type="dxa" w:w="2608"/>
            <w:shd w:val="clear" w:color="auto" w:fill="2A3F5C"/>
          </w:tcPr>
          <w:p>
            <w:pPr>
              <w:jc w:val="center"/>
            </w:pPr>
            <w:r/>
            <w:r>
              <w:rPr>
                <w:b/>
                <w:color w:val="FFFFFF"/>
                <w:sz w:val="18"/>
              </w:rPr>
              <w:t>Definición</w:t>
            </w:r>
          </w:p>
        </w:tc>
        <w:tc>
          <w:tcPr>
            <w:tcW w:type="dxa" w:w="2041"/>
            <w:shd w:val="clear" w:color="auto" w:fill="2A3F5C"/>
          </w:tcPr>
          <w:p>
            <w:pPr>
              <w:jc w:val="center"/>
            </w:pPr>
            <w:r/>
            <w:r>
              <w:rPr>
                <w:b/>
                <w:color w:val="FFFFFF"/>
                <w:sz w:val="18"/>
              </w:rPr>
              <w:t>Fuente de datos</w:t>
            </w:r>
          </w:p>
        </w:tc>
        <w:tc>
          <w:tcPr>
            <w:tcW w:type="dxa" w:w="1701"/>
            <w:shd w:val="clear" w:color="auto" w:fill="2A3F5C"/>
          </w:tcPr>
          <w:p>
            <w:pPr>
              <w:jc w:val="center"/>
            </w:pPr>
            <w:r/>
            <w:r>
              <w:rPr>
                <w:b/>
                <w:color w:val="FFFFFF"/>
                <w:sz w:val="18"/>
              </w:rPr>
              <w:t>Frecuencia de actualización</w:t>
            </w:r>
          </w:p>
        </w:tc>
        <w:tc>
          <w:tcPr>
            <w:tcW w:type="dxa" w:w="2268"/>
            <w:shd w:val="clear" w:color="auto" w:fill="2A3F5C"/>
          </w:tcPr>
          <w:p>
            <w:pPr>
              <w:jc w:val="center"/>
            </w:pPr>
            <w:r/>
            <w:r>
              <w:rPr>
                <w:b/>
                <w:color w:val="FFFFFF"/>
                <w:sz w:val="18"/>
              </w:rPr>
              <w:t>Valor objetivo / benchmark</w:t>
            </w:r>
          </w:p>
        </w:tc>
      </w:tr>
      <w:tr>
        <w:tc>
          <w:tcPr>
            <w:tcW w:type="dxa" w:w="1871"/>
          </w:tcPr>
          <w:p>
            <w:r/>
            <w:r>
              <w:rPr>
                <w:color w:val="1C2733"/>
                <w:sz w:val="17"/>
              </w:rPr>
              <w:t>Precio spot (USD)</w:t>
            </w:r>
          </w:p>
        </w:tc>
        <w:tc>
          <w:tcPr>
            <w:tcW w:type="dxa" w:w="2608"/>
          </w:tcPr>
          <w:p>
            <w:r/>
            <w:r>
              <w:rPr>
                <w:color w:val="1C2733"/>
                <w:sz w:val="17"/>
              </w:rPr>
              <w:t>Último precio de mercado de BTC/ETH/SOL</w:t>
            </w:r>
          </w:p>
        </w:tc>
        <w:tc>
          <w:tcPr>
            <w:tcW w:type="dxa" w:w="2041"/>
          </w:tcPr>
          <w:p>
            <w:r/>
            <w:r>
              <w:rPr>
                <w:color w:val="1C2733"/>
                <w:sz w:val="17"/>
              </w:rPr>
              <w:t>CoinGecko API (vivo) + histórico Hugging Face</w:t>
            </w:r>
          </w:p>
        </w:tc>
        <w:tc>
          <w:tcPr>
            <w:tcW w:type="dxa" w:w="1701"/>
          </w:tcPr>
          <w:p>
            <w:r/>
            <w:r>
              <w:rPr>
                <w:color w:val="1C2733"/>
                <w:sz w:val="17"/>
              </w:rPr>
              <w:t>~15 min (vivo) / diario (histórico)</w:t>
            </w:r>
          </w:p>
        </w:tc>
        <w:tc>
          <w:tcPr>
            <w:tcW w:type="dxa" w:w="2268"/>
          </w:tcPr>
          <w:p>
            <w:r/>
            <w:r>
              <w:rPr>
                <w:color w:val="1C2733"/>
                <w:sz w:val="17"/>
              </w:rPr>
              <w:t>Referencia de mercado; sin objetivo fijo</w:t>
            </w:r>
          </w:p>
        </w:tc>
      </w:tr>
      <w:tr>
        <w:tc>
          <w:tcPr>
            <w:tcW w:type="dxa" w:w="1871"/>
            <w:shd w:val="clear" w:color="auto" w:fill="F4F7FA"/>
          </w:tcPr>
          <w:p>
            <w:r/>
            <w:r>
              <w:rPr>
                <w:color w:val="1C2733"/>
                <w:sz w:val="17"/>
              </w:rPr>
              <w:t>Variación 24 h (%)</w:t>
            </w:r>
          </w:p>
        </w:tc>
        <w:tc>
          <w:tcPr>
            <w:tcW w:type="dxa" w:w="2608"/>
            <w:shd w:val="clear" w:color="auto" w:fill="F4F7FA"/>
          </w:tcPr>
          <w:p>
            <w:r/>
            <w:r>
              <w:rPr>
                <w:color w:val="1C2733"/>
                <w:sz w:val="17"/>
              </w:rPr>
              <w:t>Cambio porcentual del precio respecto a hace 24 h</w:t>
            </w:r>
          </w:p>
        </w:tc>
        <w:tc>
          <w:tcPr>
            <w:tcW w:type="dxa" w:w="2041"/>
            <w:shd w:val="clear" w:color="auto" w:fill="F4F7FA"/>
          </w:tcPr>
          <w:p>
            <w:r/>
            <w:r>
              <w:rPr>
                <w:color w:val="1C2733"/>
                <w:sz w:val="17"/>
              </w:rPr>
              <w:t>CoinGecko API</w:t>
            </w:r>
          </w:p>
        </w:tc>
        <w:tc>
          <w:tcPr>
            <w:tcW w:type="dxa" w:w="1701"/>
            <w:shd w:val="clear" w:color="auto" w:fill="F4F7FA"/>
          </w:tcPr>
          <w:p>
            <w:r/>
            <w:r>
              <w:rPr>
                <w:color w:val="1C2733"/>
                <w:sz w:val="17"/>
              </w:rPr>
              <w:t>~15 min</w:t>
            </w:r>
          </w:p>
        </w:tc>
        <w:tc>
          <w:tcPr>
            <w:tcW w:type="dxa" w:w="2268"/>
            <w:shd w:val="clear" w:color="auto" w:fill="F4F7FA"/>
          </w:tcPr>
          <w:p>
            <w:r/>
            <w:r>
              <w:rPr>
                <w:color w:val="1C2733"/>
                <w:sz w:val="17"/>
              </w:rPr>
              <w:t>Codificado por color: verde si &gt; 0, rojo si &lt; 0</w:t>
            </w:r>
          </w:p>
        </w:tc>
      </w:tr>
      <w:tr>
        <w:tc>
          <w:tcPr>
            <w:tcW w:type="dxa" w:w="1871"/>
          </w:tcPr>
          <w:p>
            <w:r/>
            <w:r>
              <w:rPr>
                <w:color w:val="1C2733"/>
                <w:sz w:val="17"/>
              </w:rPr>
              <w:t>Volatilidad 30 días (anualizada)</w:t>
            </w:r>
          </w:p>
        </w:tc>
        <w:tc>
          <w:tcPr>
            <w:tcW w:type="dxa" w:w="2608"/>
          </w:tcPr>
          <w:p>
            <w:r/>
            <w:r>
              <w:rPr>
                <w:color w:val="1C2733"/>
                <w:sz w:val="17"/>
              </w:rPr>
              <w:t>Desviación estándar de retornos diarios (ventana móvil 30 días) × √365</w:t>
            </w:r>
          </w:p>
        </w:tc>
        <w:tc>
          <w:tcPr>
            <w:tcW w:type="dxa" w:w="2041"/>
          </w:tcPr>
          <w:p>
            <w:r/>
            <w:r>
              <w:rPr>
                <w:color w:val="1C2733"/>
                <w:sz w:val="17"/>
              </w:rPr>
              <w:t>Calculado sobre histórico combinado (HF + CoinGecko)</w:t>
            </w:r>
          </w:p>
        </w:tc>
        <w:tc>
          <w:tcPr>
            <w:tcW w:type="dxa" w:w="1701"/>
          </w:tcPr>
          <w:p>
            <w:r/>
            <w:r>
              <w:rPr>
                <w:color w:val="1C2733"/>
                <w:sz w:val="17"/>
              </w:rPr>
              <w:t>Diario</w:t>
            </w:r>
          </w:p>
        </w:tc>
        <w:tc>
          <w:tcPr>
            <w:tcW w:type="dxa" w:w="2268"/>
          </w:tcPr>
          <w:p>
            <w:r/>
            <w:r>
              <w:rPr>
                <w:color w:val="1C2733"/>
                <w:sz w:val="17"/>
              </w:rPr>
              <w:t>Umbral de riesgo elevado: &gt; 60% anualizado (referencia para pausar/ajustar el bot)</w:t>
            </w:r>
          </w:p>
        </w:tc>
      </w:tr>
      <w:tr>
        <w:tc>
          <w:tcPr>
            <w:tcW w:type="dxa" w:w="1871"/>
            <w:shd w:val="clear" w:color="auto" w:fill="F4F7FA"/>
          </w:tcPr>
          <w:p>
            <w:r/>
            <w:r>
              <w:rPr>
                <w:color w:val="1C2733"/>
                <w:sz w:val="17"/>
              </w:rPr>
              <w:t>RSI (14 períodos)</w:t>
            </w:r>
          </w:p>
        </w:tc>
        <w:tc>
          <w:tcPr>
            <w:tcW w:type="dxa" w:w="2608"/>
            <w:shd w:val="clear" w:color="auto" w:fill="F4F7FA"/>
          </w:tcPr>
          <w:p>
            <w:r/>
            <w:r>
              <w:rPr>
                <w:color w:val="1C2733"/>
                <w:sz w:val="17"/>
              </w:rPr>
              <w:t>Índice de Fuerza Relativa, oscilador de momentum 0–100</w:t>
            </w:r>
          </w:p>
        </w:tc>
        <w:tc>
          <w:tcPr>
            <w:tcW w:type="dxa" w:w="2041"/>
            <w:shd w:val="clear" w:color="auto" w:fill="F4F7FA"/>
          </w:tcPr>
          <w:p>
            <w:r/>
            <w:r>
              <w:rPr>
                <w:color w:val="1C2733"/>
                <w:sz w:val="17"/>
              </w:rPr>
              <w:t>Recalculado por el pipeline sobre la serie de cierres combinada</w:t>
            </w:r>
          </w:p>
        </w:tc>
        <w:tc>
          <w:tcPr>
            <w:tcW w:type="dxa" w:w="1701"/>
            <w:shd w:val="clear" w:color="auto" w:fill="F4F7FA"/>
          </w:tcPr>
          <w:p>
            <w:r/>
            <w:r>
              <w:rPr>
                <w:color w:val="1C2733"/>
                <w:sz w:val="17"/>
              </w:rPr>
              <w:t>Diario</w:t>
            </w:r>
          </w:p>
        </w:tc>
        <w:tc>
          <w:tcPr>
            <w:tcW w:type="dxa" w:w="2268"/>
            <w:shd w:val="clear" w:color="auto" w:fill="F4F7FA"/>
          </w:tcPr>
          <w:p>
            <w:r/>
            <w:r>
              <w:rPr>
                <w:color w:val="1C2733"/>
                <w:sz w:val="17"/>
              </w:rPr>
              <w:t>Bandas estándar: &lt; 30 sobreventa, &gt; 70 sobrecompra</w:t>
            </w:r>
          </w:p>
        </w:tc>
      </w:tr>
      <w:tr>
        <w:tc>
          <w:tcPr>
            <w:tcW w:type="dxa" w:w="1871"/>
          </w:tcPr>
          <w:p>
            <w:r/>
            <w:r>
              <w:rPr>
                <w:color w:val="1C2733"/>
                <w:sz w:val="17"/>
              </w:rPr>
              <w:t>Máximo drawdown</w:t>
            </w:r>
          </w:p>
        </w:tc>
        <w:tc>
          <w:tcPr>
            <w:tcW w:type="dxa" w:w="2608"/>
          </w:tcPr>
          <w:p>
            <w:r/>
            <w:r>
              <w:rPr>
                <w:color w:val="1C2733"/>
                <w:sz w:val="17"/>
              </w:rPr>
              <w:t>Caída porcentual máxima desde el punto más alto histórico hasta la fecha</w:t>
            </w:r>
          </w:p>
        </w:tc>
        <w:tc>
          <w:tcPr>
            <w:tcW w:type="dxa" w:w="2041"/>
          </w:tcPr>
          <w:p>
            <w:r/>
            <w:r>
              <w:rPr>
                <w:color w:val="1C2733"/>
                <w:sz w:val="17"/>
              </w:rPr>
              <w:t>Calculado sobre histórico combinado</w:t>
            </w:r>
          </w:p>
        </w:tc>
        <w:tc>
          <w:tcPr>
            <w:tcW w:type="dxa" w:w="1701"/>
          </w:tcPr>
          <w:p>
            <w:r/>
            <w:r>
              <w:rPr>
                <w:color w:val="1C2733"/>
                <w:sz w:val="17"/>
              </w:rPr>
              <w:t>Diario</w:t>
            </w:r>
          </w:p>
        </w:tc>
        <w:tc>
          <w:tcPr>
            <w:tcW w:type="dxa" w:w="2268"/>
          </w:tcPr>
          <w:p>
            <w:r/>
            <w:r>
              <w:rPr>
                <w:color w:val="1C2733"/>
                <w:sz w:val="17"/>
              </w:rPr>
              <w:t>Sin objetivo fijo; se usa comparativamente entre BTC/ETH/SOL</w:t>
            </w:r>
          </w:p>
        </w:tc>
      </w:tr>
      <w:tr>
        <w:tc>
          <w:tcPr>
            <w:tcW w:type="dxa" w:w="1871"/>
            <w:shd w:val="clear" w:color="auto" w:fill="F4F7FA"/>
          </w:tcPr>
          <w:p>
            <w:r/>
            <w:r>
              <w:rPr>
                <w:color w:val="1C2733"/>
                <w:sz w:val="17"/>
              </w:rPr>
              <w:t>Retorno acumulado del período</w:t>
            </w:r>
          </w:p>
        </w:tc>
        <w:tc>
          <w:tcPr>
            <w:tcW w:type="dxa" w:w="2608"/>
            <w:shd w:val="clear" w:color="auto" w:fill="F4F7FA"/>
          </w:tcPr>
          <w:p>
            <w:r/>
            <w:r>
              <w:rPr>
                <w:color w:val="1C2733"/>
                <w:sz w:val="17"/>
              </w:rPr>
              <w:t>Retorno compuesto entre el inicio y el fin del rango de fechas filtrado</w:t>
            </w:r>
          </w:p>
        </w:tc>
        <w:tc>
          <w:tcPr>
            <w:tcW w:type="dxa" w:w="2041"/>
            <w:shd w:val="clear" w:color="auto" w:fill="F4F7FA"/>
          </w:tcPr>
          <w:p>
            <w:r/>
            <w:r>
              <w:rPr>
                <w:color w:val="1C2733"/>
                <w:sz w:val="17"/>
              </w:rPr>
              <w:t>Calculado sobre histórico combinado</w:t>
            </w:r>
          </w:p>
        </w:tc>
        <w:tc>
          <w:tcPr>
            <w:tcW w:type="dxa" w:w="1701"/>
            <w:shd w:val="clear" w:color="auto" w:fill="F4F7FA"/>
          </w:tcPr>
          <w:p>
            <w:r/>
            <w:r>
              <w:rPr>
                <w:color w:val="1C2733"/>
                <w:sz w:val="17"/>
              </w:rPr>
              <w:t>Diario, recalculado según el filtro del usuario</w:t>
            </w:r>
          </w:p>
        </w:tc>
        <w:tc>
          <w:tcPr>
            <w:tcW w:type="dxa" w:w="2268"/>
            <w:shd w:val="clear" w:color="auto" w:fill="F4F7FA"/>
          </w:tcPr>
          <w:p>
            <w:r/>
            <w:r>
              <w:rPr>
                <w:color w:val="1C2733"/>
                <w:sz w:val="17"/>
              </w:rPr>
              <w:t>Se compara contra el retorno de BTC como referencia de mercado</w:t>
            </w:r>
          </w:p>
        </w:tc>
      </w:tr>
      <w:tr>
        <w:tc>
          <w:tcPr>
            <w:tcW w:type="dxa" w:w="1871"/>
          </w:tcPr>
          <w:p>
            <w:r/>
            <w:r>
              <w:rPr>
                <w:color w:val="1C2733"/>
                <w:sz w:val="17"/>
              </w:rPr>
              <w:t>Dominancia de capitalización de mercado (%)</w:t>
            </w:r>
          </w:p>
        </w:tc>
        <w:tc>
          <w:tcPr>
            <w:tcW w:type="dxa" w:w="2608"/>
          </w:tcPr>
          <w:p>
            <w:r/>
            <w:r>
              <w:rPr>
                <w:color w:val="1C2733"/>
                <w:sz w:val="17"/>
              </w:rPr>
              <w:t>Market cap del activo / suma de market caps de BTC+ETH+SOL</w:t>
            </w:r>
          </w:p>
        </w:tc>
        <w:tc>
          <w:tcPr>
            <w:tcW w:type="dxa" w:w="2041"/>
          </w:tcPr>
          <w:p>
            <w:r/>
            <w:r>
              <w:rPr>
                <w:color w:val="1C2733"/>
                <w:sz w:val="17"/>
              </w:rPr>
              <w:t>CoinGecko API (vivo)</w:t>
            </w:r>
          </w:p>
        </w:tc>
        <w:tc>
          <w:tcPr>
            <w:tcW w:type="dxa" w:w="1701"/>
          </w:tcPr>
          <w:p>
            <w:r/>
            <w:r>
              <w:rPr>
                <w:color w:val="1C2733"/>
                <w:sz w:val="17"/>
              </w:rPr>
              <w:t>~15 min</w:t>
            </w:r>
          </w:p>
        </w:tc>
        <w:tc>
          <w:tcPr>
            <w:tcW w:type="dxa" w:w="2268"/>
          </w:tcPr>
          <w:p>
            <w:r/>
            <w:r>
              <w:rPr>
                <w:color w:val="1C2733"/>
                <w:sz w:val="17"/>
              </w:rPr>
              <w:t>Referencia de concentración/liquidez del mercado que opera el bot</w:t>
            </w:r>
          </w:p>
        </w:tc>
      </w:tr>
    </w:tbl>
    <w:p>
      <w:r>
        <w:rPr>
          <w:i/>
          <w:color w:val="5A6B7A"/>
          <w:sz w:val="19"/>
        </w:rPr>
        <w:t>Estos KPIs conforman una capa de inteligencia de mercado propia de ProDev, útil para reporting y gestión de riesgo; de forma opcional, también puede servir como contexto adicional para otras iniciativas de la empresa, como el robot de inversión.</w:t>
      </w:r>
    </w:p>
    <w:p>
      <w:r>
        <w:br w:type="page"/>
      </w:r>
    </w:p>
    <w:p>
      <w:pPr>
        <w:pStyle w:val="Heading1"/>
      </w:pPr>
      <w:r>
        <w:t>3. Pipeline de datos</w:t>
      </w:r>
    </w:p>
    <w:p>
      <w:pPr>
        <w:pStyle w:val="Heading2"/>
      </w:pPr>
      <w:r>
        <w:t>3.1 Etapas del flujo</w:t>
      </w:r>
    </w:p>
    <w:tbl>
      <w:tblPr>
        <w:tblW w:type="auto" w:w="0"/>
        <w:jc w:val="center"/>
        <w:tblLayout w:type="autofit"/>
        <w:tblLook w:firstColumn="1" w:firstRow="1" w:lastColumn="0" w:lastRow="0" w:noHBand="0" w:noVBand="1" w:val="04A0"/>
        <w:tblBorders>
          <w:top w:val="single" w:sz="4" w:space="0" w:color="C7D0D8"/>
          <w:left w:val="single" w:sz="4" w:space="0" w:color="C7D0D8"/>
          <w:bottom w:val="single" w:sz="4" w:space="0" w:color="C7D0D8"/>
          <w:right w:val="single" w:sz="4" w:space="0" w:color="C7D0D8"/>
          <w:insideH w:val="single" w:sz="4" w:space="0" w:color="C7D0D8"/>
          <w:insideV w:val="single" w:sz="4" w:space="0" w:color="C7D0D8"/>
        </w:tblBorders>
      </w:tblPr>
      <w:tblGrid>
        <w:gridCol w:w="3099"/>
        <w:gridCol w:w="3099"/>
        <w:gridCol w:w="3099"/>
      </w:tblGrid>
      <w:tr>
        <w:tc>
          <w:tcPr>
            <w:tcW w:type="dxa" w:w="1814"/>
            <w:shd w:val="clear" w:color="auto" w:fill="2A3F5C"/>
          </w:tcPr>
          <w:p>
            <w:pPr>
              <w:jc w:val="center"/>
            </w:pPr>
            <w:r/>
            <w:r>
              <w:rPr>
                <w:b/>
                <w:color w:val="FFFFFF"/>
                <w:sz w:val="19"/>
              </w:rPr>
              <w:t>Etapa</w:t>
            </w:r>
          </w:p>
        </w:tc>
        <w:tc>
          <w:tcPr>
            <w:tcW w:type="dxa" w:w="3005"/>
            <w:shd w:val="clear" w:color="auto" w:fill="2A3F5C"/>
          </w:tcPr>
          <w:p>
            <w:pPr>
              <w:jc w:val="center"/>
            </w:pPr>
            <w:r/>
            <w:r>
              <w:rPr>
                <w:b/>
                <w:color w:val="FFFFFF"/>
                <w:sz w:val="19"/>
              </w:rPr>
              <w:t>Implementación</w:t>
            </w:r>
          </w:p>
        </w:tc>
        <w:tc>
          <w:tcPr>
            <w:tcW w:type="dxa" w:w="4535"/>
            <w:shd w:val="clear" w:color="auto" w:fill="2A3F5C"/>
          </w:tcPr>
          <w:p>
            <w:pPr>
              <w:jc w:val="center"/>
            </w:pPr>
            <w:r/>
            <w:r>
              <w:rPr>
                <w:b/>
                <w:color w:val="FFFFFF"/>
                <w:sz w:val="19"/>
              </w:rPr>
              <w:t>Detalle</w:t>
            </w:r>
          </w:p>
        </w:tc>
      </w:tr>
      <w:tr>
        <w:tc>
          <w:tcPr>
            <w:tcW w:type="dxa" w:w="1814"/>
          </w:tcPr>
          <w:p>
            <w:r/>
            <w:r>
              <w:rPr>
                <w:color w:val="1C2733"/>
                <w:sz w:val="18"/>
              </w:rPr>
              <w:t>Ingesta</w:t>
            </w:r>
          </w:p>
        </w:tc>
        <w:tc>
          <w:tcPr>
            <w:tcW w:type="dxa" w:w="3005"/>
          </w:tcPr>
          <w:p>
            <w:r/>
            <w:r>
              <w:rPr>
                <w:color w:val="1C2733"/>
                <w:sz w:val="18"/>
              </w:rPr>
              <w:t>ingest_historical.py + backfill_recent.py + ingest_live.py</w:t>
            </w:r>
          </w:p>
        </w:tc>
        <w:tc>
          <w:tcPr>
            <w:tcW w:type="dxa" w:w="4535"/>
          </w:tcPr>
          <w:p>
            <w:r/>
            <w:r>
              <w:rPr>
                <w:color w:val="1C2733"/>
                <w:sz w:val="18"/>
              </w:rPr>
              <w:t>Batch histórico (Hugging Face, 1 vez/mensual) + backfill diario (CoinGecko, hasta 365 días) + snapshot en vivo cada 15 min (systemd timer en EC2)</w:t>
            </w:r>
          </w:p>
        </w:tc>
      </w:tr>
      <w:tr>
        <w:tc>
          <w:tcPr>
            <w:tcW w:type="dxa" w:w="1814"/>
            <w:shd w:val="clear" w:color="auto" w:fill="F4F7FA"/>
          </w:tcPr>
          <w:p>
            <w:r/>
            <w:r>
              <w:rPr>
                <w:color w:val="1C2733"/>
                <w:sz w:val="18"/>
              </w:rPr>
              <w:t>Almacenamiento</w:t>
            </w:r>
          </w:p>
        </w:tc>
        <w:tc>
          <w:tcPr>
            <w:tcW w:type="dxa" w:w="3005"/>
            <w:shd w:val="clear" w:color="auto" w:fill="F4F7FA"/>
          </w:tcPr>
          <w:p>
            <w:r/>
            <w:r>
              <w:rPr>
                <w:color w:val="1C2733"/>
                <w:sz w:val="18"/>
              </w:rPr>
              <w:t>Amazon S3 — prefijos raw/, processed/, live/</w:t>
            </w:r>
          </w:p>
        </w:tc>
        <w:tc>
          <w:tcPr>
            <w:tcW w:type="dxa" w:w="4535"/>
            <w:shd w:val="clear" w:color="auto" w:fill="F4F7FA"/>
          </w:tcPr>
          <w:p>
            <w:r/>
            <w:r>
              <w:rPr>
                <w:color w:val="1C2733"/>
                <w:sz w:val="18"/>
              </w:rPr>
              <w:t>Data lake simple: capa cruda (muestra), capa procesada (parquet diario + KPIs) y capa de snapshots en vivo (CSV acumulado)</w:t>
            </w:r>
          </w:p>
        </w:tc>
      </w:tr>
      <w:tr>
        <w:tc>
          <w:tcPr>
            <w:tcW w:type="dxa" w:w="1814"/>
          </w:tcPr>
          <w:p>
            <w:r/>
            <w:r>
              <w:rPr>
                <w:color w:val="1C2733"/>
                <w:sz w:val="18"/>
              </w:rPr>
              <w:t>Transformación</w:t>
            </w:r>
          </w:p>
        </w:tc>
        <w:tc>
          <w:tcPr>
            <w:tcW w:type="dxa" w:w="3005"/>
          </w:tcPr>
          <w:p>
            <w:r/>
            <w:r>
              <w:rPr>
                <w:color w:val="1C2733"/>
                <w:sz w:val="18"/>
              </w:rPr>
              <w:t>data_pipeline/transform.py (pandas)</w:t>
            </w:r>
          </w:p>
        </w:tc>
        <w:tc>
          <w:tcPr>
            <w:tcW w:type="dxa" w:w="4535"/>
          </w:tcPr>
          <w:p>
            <w:r/>
            <w:r>
              <w:rPr>
                <w:color w:val="1C2733"/>
                <w:sz w:val="18"/>
              </w:rPr>
              <w:t>Resampleo 1 min → 1 día, retornos diario/acumulado, volatilidad rolling 30d, drawdown, dominancia de mercado; combina histórico + vivo en un snapshot “latest”</w:t>
            </w:r>
          </w:p>
        </w:tc>
      </w:tr>
      <w:tr>
        <w:tc>
          <w:tcPr>
            <w:tcW w:type="dxa" w:w="1814"/>
            <w:shd w:val="clear" w:color="auto" w:fill="F4F7FA"/>
          </w:tcPr>
          <w:p>
            <w:r/>
            <w:r>
              <w:rPr>
                <w:color w:val="1C2733"/>
                <w:sz w:val="18"/>
              </w:rPr>
              <w:t>Consumo (dashboard)</w:t>
            </w:r>
          </w:p>
        </w:tc>
        <w:tc>
          <w:tcPr>
            <w:tcW w:type="dxa" w:w="3005"/>
            <w:shd w:val="clear" w:color="auto" w:fill="F4F7FA"/>
          </w:tcPr>
          <w:p>
            <w:r/>
            <w:r>
              <w:rPr>
                <w:color w:val="1C2733"/>
                <w:sz w:val="18"/>
              </w:rPr>
              <w:t>dashboard/app.py (Streamlit + Plotly, EC2 + Nginx)</w:t>
            </w:r>
          </w:p>
        </w:tc>
        <w:tc>
          <w:tcPr>
            <w:tcW w:type="dxa" w:w="4535"/>
            <w:shd w:val="clear" w:color="auto" w:fill="F4F7FA"/>
          </w:tcPr>
          <w:p>
            <w:r/>
            <w:r>
              <w:rPr>
                <w:color w:val="1C2733"/>
                <w:sz w:val="18"/>
              </w:rPr>
              <w:t>Lee kpi_daily.parquet y kpi_latest.csv desde S3, con caché de 5 minutos (st.cache_data(ttl=300))</w:t>
            </w:r>
          </w:p>
        </w:tc>
      </w:tr>
    </w:tbl>
    <w:p>
      <w:pPr>
        <w:pStyle w:val="Heading2"/>
      </w:pPr>
      <w:r>
        <w:t>3.2 Arquitectura de alto nivel</w:t>
      </w:r>
    </w:p>
    <w:p>
      <w:r>
        <w:t>La arquitectura cubre las cuatro capas requeridas — ingesta, almacenamiento, procesamiento y visualización — sobre infraestructura de capa gratuita de AWS (EC2 t3.micro + S3) ya desplegada y en operación (no solo diseñada), apta para una etapa de prototipo/mejora continua de producto.</w:t>
      </w:r>
    </w:p>
    <w:p>
      <w:pPr>
        <w:jc w:val="center"/>
      </w:pPr>
      <w:r>
        <w:drawing>
          <wp:inline xmlns:a="http://schemas.openxmlformats.org/drawingml/2006/main" xmlns:pic="http://schemas.openxmlformats.org/drawingml/2006/picture">
            <wp:extent cx="5580000" cy="5803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80000" cy="5803200"/>
                    </a:xfrm>
                    <a:prstGeom prst="rect"/>
                  </pic:spPr>
                </pic:pic>
              </a:graphicData>
            </a:graphic>
          </wp:inline>
        </w:drawing>
      </w:r>
    </w:p>
    <w:p>
      <w:pPr>
        <w:pStyle w:val="CaptionCustom"/>
      </w:pPr>
      <w:r>
        <w:t>Figura 1. Arquitectura de alto nivel — ingesta, almacenamiento (S3), procesamiento (EC2) y consumo por el dashboard.</w:t>
      </w:r>
    </w:p>
    <w:p>
      <w:r>
        <w:t>La ingesta se separa en tres scripts porque el histórico completo de Hugging Face (velas de 1 minuto, ~2.7 millones de filas por activo) no cabe en la memoria de una instancia EC2 de capa gratuita (1 GB de RAM): ingest_historical.py procesa ese histórico mes a mes desde una máquina con RAM normal y corre una sola vez; backfill_recent.py e ingest_live.py sólo consumen respuestas pequeñas de la API de CoinGecko y son los únicos scripts pensados para correr en bucle sobre la instancia EC2, cada 15 minutos.</w:t>
      </w:r>
    </w:p>
    <w:p>
      <w:r>
        <w:br w:type="page"/>
      </w:r>
    </w:p>
    <w:p>
      <w:pPr>
        <w:pStyle w:val="Heading1"/>
      </w:pPr>
      <w:r>
        <w:t>4. Modelo de datos</w:t>
      </w:r>
    </w:p>
    <w:p>
      <w:pPr>
        <w:pStyle w:val="Heading2"/>
      </w:pPr>
      <w:r>
        <w:t>4.1 Fuentes de información</w:t>
      </w:r>
    </w:p>
    <w:p>
      <w:pPr>
        <w:pStyle w:val="ListBullet"/>
      </w:pPr>
      <w:r>
        <w:rPr>
          <w:b/>
        </w:rPr>
        <w:t xml:space="preserve">Hugging Face — WinkingFace/CryptoLM-Bitcoin/Ethereum/Solana-USDT: </w:t>
      </w:r>
      <w:r>
        <w:t>conjunto público (licencia MIT, sin autenticación) con velas OHLCV reales a 1 minuto. Cubre BTC/ETH desde 2017 hasta ~marzo de 2025; SOL sólo tiene ~23 días en esta fuente.</w:t>
      </w:r>
    </w:p>
    <w:p>
      <w:pPr>
        <w:pStyle w:val="ListBullet"/>
      </w:pPr>
      <w:r>
        <w:rPr>
          <w:b/>
        </w:rPr>
        <w:t xml:space="preserve">CoinGecko API — /simple/price: </w:t>
      </w:r>
      <w:r>
        <w:t>API REST pública y gratuita usada para el feed en vivo (precio, market cap, volumen 24h, variación 24h), consultada cada 15 minutos.</w:t>
      </w:r>
    </w:p>
    <w:p>
      <w:pPr>
        <w:pStyle w:val="ListBullet"/>
      </w:pPr>
      <w:r>
        <w:rPr>
          <w:b/>
        </w:rPr>
        <w:t xml:space="preserve">CoinGecko API — /coins/{id}/market_chart: </w:t>
      </w:r>
      <w:r>
        <w:t>misma API, usada por backfill_recent.py para traer hasta 365 días de precio diario por activo. Cierra la brecha entre el corte de Hugging Face y hoy, y extiende el historial de SOL de 23 días a ~1 año. Limitación documentada: este endpoint entrega un precio por día, no un OHLC real, por lo que en ese tramo open = high = low = close — aproximación válida para KPIs basados en cierre (retorno, volatilidad, drawdown, RSI, medias móviles), no para análisis de rango intradía.</w:t>
      </w:r>
    </w:p>
    <w:p>
      <w:r>
        <w:t>Nota de alcance: estas fuentes reflejan el mercado en el que Binance opera (no es una conexión directa a la cuenta de Binance del bot), lo que es suficiente para el objetivo de contexto de mercado de este dashboard, y evita depender de credenciales privadas de trading dentro de una capa de analítica de sólo lectura.</w:t>
      </w:r>
    </w:p>
    <w:p>
      <w:pPr>
        <w:pStyle w:val="Heading2"/>
      </w:pPr>
      <w:r>
        <w:t>4.2 Formato de los datos</w:t>
      </w:r>
    </w:p>
    <w:tbl>
      <w:tblPr>
        <w:tblW w:type="auto" w:w="0"/>
        <w:jc w:val="center"/>
        <w:tblLayout w:type="autofit"/>
        <w:tblLook w:firstColumn="1" w:firstRow="1" w:lastColumn="0" w:lastRow="0" w:noHBand="0" w:noVBand="1" w:val="04A0"/>
        <w:tblBorders>
          <w:top w:val="single" w:sz="4" w:space="0" w:color="C7D0D8"/>
          <w:left w:val="single" w:sz="4" w:space="0" w:color="C7D0D8"/>
          <w:bottom w:val="single" w:sz="4" w:space="0" w:color="C7D0D8"/>
          <w:right w:val="single" w:sz="4" w:space="0" w:color="C7D0D8"/>
          <w:insideH w:val="single" w:sz="4" w:space="0" w:color="C7D0D8"/>
          <w:insideV w:val="single" w:sz="4" w:space="0" w:color="C7D0D8"/>
        </w:tblBorders>
      </w:tblPr>
      <w:tblGrid>
        <w:gridCol w:w="3099"/>
        <w:gridCol w:w="3099"/>
        <w:gridCol w:w="3099"/>
      </w:tblGrid>
      <w:tr>
        <w:tc>
          <w:tcPr>
            <w:tcW w:type="dxa" w:w="2551"/>
            <w:shd w:val="clear" w:color="auto" w:fill="2A3F5C"/>
          </w:tcPr>
          <w:p>
            <w:pPr>
              <w:jc w:val="center"/>
            </w:pPr>
            <w:r/>
            <w:r>
              <w:rPr>
                <w:b/>
                <w:color w:val="FFFFFF"/>
                <w:sz w:val="19"/>
              </w:rPr>
              <w:t>Capa</w:t>
            </w:r>
          </w:p>
        </w:tc>
        <w:tc>
          <w:tcPr>
            <w:tcW w:type="dxa" w:w="2551"/>
            <w:shd w:val="clear" w:color="auto" w:fill="2A3F5C"/>
          </w:tcPr>
          <w:p>
            <w:pPr>
              <w:jc w:val="center"/>
            </w:pPr>
            <w:r/>
            <w:r>
              <w:rPr>
                <w:b/>
                <w:color w:val="FFFFFF"/>
                <w:sz w:val="19"/>
              </w:rPr>
              <w:t>Formato</w:t>
            </w:r>
          </w:p>
        </w:tc>
        <w:tc>
          <w:tcPr>
            <w:tcW w:type="dxa" w:w="4252"/>
            <w:shd w:val="clear" w:color="auto" w:fill="2A3F5C"/>
          </w:tcPr>
          <w:p>
            <w:pPr>
              <w:jc w:val="center"/>
            </w:pPr>
            <w:r/>
            <w:r>
              <w:rPr>
                <w:b/>
                <w:color w:val="FFFFFF"/>
                <w:sz w:val="19"/>
              </w:rPr>
              <w:t>Motivo</w:t>
            </w:r>
          </w:p>
        </w:tc>
      </w:tr>
      <w:tr>
        <w:tc>
          <w:tcPr>
            <w:tcW w:type="dxa" w:w="2551"/>
          </w:tcPr>
          <w:p>
            <w:r/>
            <w:r>
              <w:rPr>
                <w:color w:val="1C2733"/>
                <w:sz w:val="19"/>
              </w:rPr>
              <w:t>Histórico crudo (Hugging Face)</w:t>
            </w:r>
          </w:p>
        </w:tc>
        <w:tc>
          <w:tcPr>
            <w:tcW w:type="dxa" w:w="2551"/>
          </w:tcPr>
          <w:p>
            <w:r/>
            <w:r>
              <w:rPr>
                <w:color w:val="1C2733"/>
                <w:sz w:val="19"/>
              </w:rPr>
              <w:t>Parquet particionado por mes</w:t>
            </w:r>
          </w:p>
        </w:tc>
        <w:tc>
          <w:tcPr>
            <w:tcW w:type="dxa" w:w="4252"/>
          </w:tcPr>
          <w:p>
            <w:r/>
            <w:r>
              <w:rPr>
                <w:color w:val="1C2733"/>
                <w:sz w:val="19"/>
              </w:rPr>
              <w:t>Columnar y comprimido; permite lectura selectiva de columnas sin cargar todo el histórico en memoria</w:t>
            </w:r>
          </w:p>
        </w:tc>
      </w:tr>
      <w:tr>
        <w:tc>
          <w:tcPr>
            <w:tcW w:type="dxa" w:w="2551"/>
            <w:shd w:val="clear" w:color="auto" w:fill="F4F7FA"/>
          </w:tcPr>
          <w:p>
            <w:r/>
            <w:r>
              <w:rPr>
                <w:color w:val="1C2733"/>
                <w:sz w:val="19"/>
              </w:rPr>
              <w:t>Procesado (diario + KPIs)</w:t>
            </w:r>
          </w:p>
        </w:tc>
        <w:tc>
          <w:tcPr>
            <w:tcW w:type="dxa" w:w="2551"/>
            <w:shd w:val="clear" w:color="auto" w:fill="F4F7FA"/>
          </w:tcPr>
          <w:p>
            <w:r/>
            <w:r>
              <w:rPr>
                <w:color w:val="1C2733"/>
                <w:sz w:val="19"/>
              </w:rPr>
              <w:t>Parquet + CSV</w:t>
            </w:r>
          </w:p>
        </w:tc>
        <w:tc>
          <w:tcPr>
            <w:tcW w:type="dxa" w:w="4252"/>
            <w:shd w:val="clear" w:color="auto" w:fill="F4F7FA"/>
          </w:tcPr>
          <w:p>
            <w:r/>
            <w:r>
              <w:rPr>
                <w:color w:val="1C2733"/>
                <w:sz w:val="19"/>
              </w:rPr>
              <w:t>Parquet para el pipeline/dashboard (eficiente); CSV como copia legible y portable</w:t>
            </w:r>
          </w:p>
        </w:tc>
      </w:tr>
      <w:tr>
        <w:tc>
          <w:tcPr>
            <w:tcW w:type="dxa" w:w="2551"/>
          </w:tcPr>
          <w:p>
            <w:r/>
            <w:r>
              <w:rPr>
                <w:color w:val="1C2733"/>
                <w:sz w:val="19"/>
              </w:rPr>
              <w:t>Live feed</w:t>
            </w:r>
          </w:p>
        </w:tc>
        <w:tc>
          <w:tcPr>
            <w:tcW w:type="dxa" w:w="2551"/>
          </w:tcPr>
          <w:p>
            <w:r/>
            <w:r>
              <w:rPr>
                <w:color w:val="1C2733"/>
                <w:sz w:val="19"/>
              </w:rPr>
              <w:t>CSV acumulado + JSON crudo de la API</w:t>
            </w:r>
          </w:p>
        </w:tc>
        <w:tc>
          <w:tcPr>
            <w:tcW w:type="dxa" w:w="4252"/>
          </w:tcPr>
          <w:p>
            <w:r/>
            <w:r>
              <w:rPr>
                <w:color w:val="1C2733"/>
                <w:sz w:val="19"/>
              </w:rPr>
              <w:t>CSV facilita el append incremental; JSON es la respuesta nativa de CoinGecko</w:t>
            </w:r>
          </w:p>
        </w:tc>
      </w:tr>
    </w:tbl>
    <w:p>
      <w:pPr>
        <w:pStyle w:val="Heading2"/>
      </w:pPr>
      <w:r>
        <w:t>4.3 Frecuencia de actualización</w:t>
      </w:r>
    </w:p>
    <w:p>
      <w:pPr>
        <w:pStyle w:val="ListBullet"/>
      </w:pPr>
      <w:r>
        <w:rPr>
          <w:b/>
        </w:rPr>
        <w:t xml:space="preserve">Histórico (Hugging Face): </w:t>
      </w:r>
      <w:r>
        <w:t>recarga manual/mensual (ingest_historical.py), acorde al ritmo de actualización del dataset fuente.</w:t>
      </w:r>
    </w:p>
    <w:p>
      <w:pPr>
        <w:pStyle w:val="ListBullet"/>
      </w:pPr>
      <w:r>
        <w:rPr>
          <w:b/>
        </w:rPr>
        <w:t xml:space="preserve">Backfill reciente (CoinGecko): </w:t>
      </w:r>
      <w:r>
        <w:t>se re-ejecuta junto con el feed en vivo, cada 15 minutos, para mantener el día actual al día.</w:t>
      </w:r>
    </w:p>
    <w:p>
      <w:pPr>
        <w:pStyle w:val="ListBullet"/>
      </w:pPr>
      <w:r>
        <w:rPr>
          <w:b/>
        </w:rPr>
        <w:t xml:space="preserve">Live: </w:t>
      </w:r>
      <w:r>
        <w:t>cada 15 minutos, vía systemd timer en la instancia EC2.</w:t>
      </w:r>
    </w:p>
    <w:p>
      <w:pPr>
        <w:pStyle w:val="ListBullet"/>
      </w:pPr>
      <w:r>
        <w:rPr>
          <w:b/>
        </w:rPr>
        <w:t xml:space="preserve">Dashboard: </w:t>
      </w:r>
      <w:r>
        <w:t>caché de 5 minutos (st.cache_data(ttl=300)) — balance entre “casi en vivo” y no saturar S3/CoinGecko.</w:t>
      </w:r>
    </w:p>
    <w:p>
      <w:pPr>
        <w:pStyle w:val="Heading2"/>
      </w:pPr>
      <w:r>
        <w:t>4.4 Modelo conceptual de datos</w:t>
      </w:r>
    </w:p>
    <w:p>
      <w:r>
        <w:t>Esquema en estrella: Asset como dimensión; el resto son tablas de hechos particionadas por symbol + fecha/timestamp.</w:t>
      </w:r>
    </w:p>
    <w:p>
      <w:pPr>
        <w:jc w:val="center"/>
      </w:pPr>
      <w:r>
        <w:drawing>
          <wp:inline xmlns:a="http://schemas.openxmlformats.org/drawingml/2006/main" xmlns:pic="http://schemas.openxmlformats.org/drawingml/2006/picture">
            <wp:extent cx="5760000" cy="2981647"/>
            <wp:docPr id="2" name="Picture 2"/>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760000" cy="2981647"/>
                    </a:xfrm>
                    <a:prstGeom prst="rect"/>
                  </pic:spPr>
                </pic:pic>
              </a:graphicData>
            </a:graphic>
          </wp:inline>
        </w:drawing>
      </w:r>
    </w:p>
    <w:p>
      <w:pPr>
        <w:pStyle w:val="CaptionCustom"/>
      </w:pPr>
      <w:r>
        <w:t>Figura 2. Modelo conceptual — esquema en estrella (Asset + tablas de hechos diarias y de cotización en vivo).</w:t>
      </w:r>
    </w:p>
    <w:p>
      <w:r>
        <w:t>En la implementación física, PriceObservationDaily, TechnicalIndicatorDaily y DerivedKPIDaily conviven en una sola tabla ancha (kpi_daily.parquet, mismo grano symbol + date) por simplicidad; LiveQuote corresponde a live_quotes.csv / kpi_latest.csv, que es la fuente de las tarjetas KPI del dashboard.</w:t>
      </w:r>
    </w:p>
    <w:p>
      <w:r>
        <w:br w:type="page"/>
      </w:r>
    </w:p>
    <w:p>
      <w:pPr>
        <w:pStyle w:val="Heading1"/>
      </w:pPr>
      <w:r>
        <w:t>5. Diseño del dashboard</w:t>
      </w:r>
    </w:p>
    <w:p>
      <w:pPr>
        <w:pStyle w:val="Heading2"/>
      </w:pPr>
      <w:r>
        <w:t>5.1 Filtros e interacción</w:t>
      </w:r>
    </w:p>
    <w:p>
      <w:pPr>
        <w:pStyle w:val="ListBullet"/>
      </w:pPr>
      <w:r>
        <w:rPr>
          <w:b/>
        </w:rPr>
        <w:t xml:space="preserve">Selector múltiple de criptomonedas (BTC / ETH / SOL): </w:t>
      </w:r>
      <w:r>
        <w:t>cambia qué activos se grafican y compara.</w:t>
      </w:r>
    </w:p>
    <w:p>
      <w:pPr>
        <w:pStyle w:val="ListBullet"/>
      </w:pPr>
      <w:r>
        <w:rPr>
          <w:b/>
        </w:rPr>
        <w:t xml:space="preserve">Rango de fechas (slider): </w:t>
      </w:r>
      <w:r>
        <w:t>acota el histórico y recalcula KPIs/retornos en vivo.</w:t>
      </w:r>
    </w:p>
    <w:p>
      <w:pPr>
        <w:pStyle w:val="ListBullet"/>
      </w:pPr>
      <w:r>
        <w:rPr>
          <w:b/>
        </w:rPr>
        <w:t xml:space="preserve">Toggle de indicadores técnicos: </w:t>
      </w:r>
      <w:r>
        <w:t>muestra u oculta medias móviles y Bandas de Bollinger sobre el precio.</w:t>
      </w:r>
    </w:p>
    <w:p>
      <w:pPr>
        <w:pStyle w:val="ListBullet"/>
      </w:pPr>
      <w:r>
        <w:rPr>
          <w:b/>
        </w:rPr>
        <w:t xml:space="preserve">Interacción adicional: </w:t>
      </w:r>
      <w:r>
        <w:t>tooltips unificados, zoom/pan nativo de Plotly, tabla de datos filtrable y descarga en CSV.</w:t>
      </w:r>
    </w:p>
    <w:p>
      <w:pPr>
        <w:pStyle w:val="Heading2"/>
      </w:pPr>
      <w:r>
        <w:t>5.2 Justificación de los tipos de gráfico</w:t>
      </w:r>
    </w:p>
    <w:tbl>
      <w:tblPr>
        <w:tblW w:type="auto" w:w="0"/>
        <w:jc w:val="center"/>
        <w:tblLayout w:type="autofit"/>
        <w:tblLook w:firstColumn="1" w:firstRow="1" w:lastColumn="0" w:lastRow="0" w:noHBand="0" w:noVBand="1" w:val="04A0"/>
        <w:tblBorders>
          <w:top w:val="single" w:sz="4" w:space="0" w:color="C7D0D8"/>
          <w:left w:val="single" w:sz="4" w:space="0" w:color="C7D0D8"/>
          <w:bottom w:val="single" w:sz="4" w:space="0" w:color="C7D0D8"/>
          <w:right w:val="single" w:sz="4" w:space="0" w:color="C7D0D8"/>
          <w:insideH w:val="single" w:sz="4" w:space="0" w:color="C7D0D8"/>
          <w:insideV w:val="single" w:sz="4" w:space="0" w:color="C7D0D8"/>
        </w:tblBorders>
      </w:tblPr>
      <w:tblGrid>
        <w:gridCol w:w="3099"/>
        <w:gridCol w:w="3099"/>
        <w:gridCol w:w="3099"/>
      </w:tblGrid>
      <w:tr>
        <w:tc>
          <w:tcPr>
            <w:tcW w:type="dxa" w:w="1871"/>
            <w:shd w:val="clear" w:color="auto" w:fill="2A3F5C"/>
          </w:tcPr>
          <w:p>
            <w:pPr>
              <w:jc w:val="center"/>
            </w:pPr>
            <w:r/>
            <w:r>
              <w:rPr>
                <w:b/>
                <w:color w:val="FFFFFF"/>
                <w:sz w:val="19"/>
              </w:rPr>
              <w:t>Gráfico</w:t>
            </w:r>
          </w:p>
        </w:tc>
        <w:tc>
          <w:tcPr>
            <w:tcW w:type="dxa" w:w="2098"/>
            <w:shd w:val="clear" w:color="auto" w:fill="2A3F5C"/>
          </w:tcPr>
          <w:p>
            <w:pPr>
              <w:jc w:val="center"/>
            </w:pPr>
            <w:r/>
            <w:r>
              <w:rPr>
                <w:b/>
                <w:color w:val="FFFFFF"/>
                <w:sz w:val="19"/>
              </w:rPr>
              <w:t>Tipo</w:t>
            </w:r>
          </w:p>
        </w:tc>
        <w:tc>
          <w:tcPr>
            <w:tcW w:type="dxa" w:w="5386"/>
            <w:shd w:val="clear" w:color="auto" w:fill="2A3F5C"/>
          </w:tcPr>
          <w:p>
            <w:pPr>
              <w:jc w:val="center"/>
            </w:pPr>
            <w:r/>
            <w:r>
              <w:rPr>
                <w:b/>
                <w:color w:val="FFFFFF"/>
                <w:sz w:val="19"/>
              </w:rPr>
              <w:t>Justificación</w:t>
            </w:r>
          </w:p>
        </w:tc>
      </w:tr>
      <w:tr>
        <w:tc>
          <w:tcPr>
            <w:tcW w:type="dxa" w:w="1871"/>
          </w:tcPr>
          <w:p>
            <w:r/>
            <w:r>
              <w:rPr>
                <w:color w:val="1C2733"/>
                <w:sz w:val="17"/>
              </w:rPr>
              <w:t>Precio (1 activo seleccionado)</w:t>
            </w:r>
          </w:p>
        </w:tc>
        <w:tc>
          <w:tcPr>
            <w:tcW w:type="dxa" w:w="2098"/>
          </w:tcPr>
          <w:p>
            <w:r/>
            <w:r>
              <w:rPr>
                <w:color w:val="1C2733"/>
                <w:sz w:val="17"/>
              </w:rPr>
              <w:t>Velas (candlestick) + medias móviles</w:t>
            </w:r>
          </w:p>
        </w:tc>
        <w:tc>
          <w:tcPr>
            <w:tcW w:type="dxa" w:w="5386"/>
          </w:tcPr>
          <w:p>
            <w:r/>
            <w:r>
              <w:rPr>
                <w:color w:val="1C2733"/>
                <w:sz w:val="17"/>
              </w:rPr>
              <w:t>Estándar financiero: muestra apertura/máximo/mínimo/cierre en un vistazo, con medias móviles como referencia de tendencia</w:t>
            </w:r>
          </w:p>
        </w:tc>
      </w:tr>
      <w:tr>
        <w:tc>
          <w:tcPr>
            <w:tcW w:type="dxa" w:w="1871"/>
            <w:shd w:val="clear" w:color="auto" w:fill="F4F7FA"/>
          </w:tcPr>
          <w:p>
            <w:r/>
            <w:r>
              <w:rPr>
                <w:color w:val="1C2733"/>
                <w:sz w:val="17"/>
              </w:rPr>
              <w:t>Volumen</w:t>
            </w:r>
          </w:p>
        </w:tc>
        <w:tc>
          <w:tcPr>
            <w:tcW w:type="dxa" w:w="2098"/>
            <w:shd w:val="clear" w:color="auto" w:fill="F4F7FA"/>
          </w:tcPr>
          <w:p>
            <w:r/>
            <w:r>
              <w:rPr>
                <w:color w:val="1C2733"/>
                <w:sz w:val="17"/>
              </w:rPr>
              <w:t>Barras</w:t>
            </w:r>
          </w:p>
        </w:tc>
        <w:tc>
          <w:tcPr>
            <w:tcW w:type="dxa" w:w="5386"/>
            <w:shd w:val="clear" w:color="auto" w:fill="F4F7FA"/>
          </w:tcPr>
          <w:p>
            <w:r/>
            <w:r>
              <w:rPr>
                <w:color w:val="1C2733"/>
                <w:sz w:val="17"/>
              </w:rPr>
              <w:t>Magnitud discreta por período; se lee mejor en barras que en línea</w:t>
            </w:r>
          </w:p>
        </w:tc>
      </w:tr>
      <w:tr>
        <w:tc>
          <w:tcPr>
            <w:tcW w:type="dxa" w:w="1871"/>
          </w:tcPr>
          <w:p>
            <w:r/>
            <w:r>
              <w:rPr>
                <w:color w:val="1C2733"/>
                <w:sz w:val="17"/>
              </w:rPr>
              <w:t>RSI</w:t>
            </w:r>
          </w:p>
        </w:tc>
        <w:tc>
          <w:tcPr>
            <w:tcW w:type="dxa" w:w="2098"/>
          </w:tcPr>
          <w:p>
            <w:r/>
            <w:r>
              <w:rPr>
                <w:color w:val="1C2733"/>
                <w:sz w:val="17"/>
              </w:rPr>
              <w:t>Línea con bandas de referencia 30/70</w:t>
            </w:r>
          </w:p>
        </w:tc>
        <w:tc>
          <w:tcPr>
            <w:tcW w:type="dxa" w:w="5386"/>
          </w:tcPr>
          <w:p>
            <w:r/>
            <w:r>
              <w:rPr>
                <w:color w:val="1C2733"/>
                <w:sz w:val="17"/>
              </w:rPr>
              <w:t>Oscilador de rango fijo (0–100); las líneas horizontales marcan sobrecompra/sobreventa de forma inmediata</w:t>
            </w:r>
          </w:p>
        </w:tc>
      </w:tr>
      <w:tr>
        <w:tc>
          <w:tcPr>
            <w:tcW w:type="dxa" w:w="1871"/>
            <w:shd w:val="clear" w:color="auto" w:fill="F4F7FA"/>
          </w:tcPr>
          <w:p>
            <w:r/>
            <w:r>
              <w:rPr>
                <w:color w:val="1C2733"/>
                <w:sz w:val="17"/>
              </w:rPr>
              <w:t>Comparación multi-activo</w:t>
            </w:r>
          </w:p>
        </w:tc>
        <w:tc>
          <w:tcPr>
            <w:tcW w:type="dxa" w:w="2098"/>
            <w:shd w:val="clear" w:color="auto" w:fill="F4F7FA"/>
          </w:tcPr>
          <w:p>
            <w:r/>
            <w:r>
              <w:rPr>
                <w:color w:val="1C2733"/>
                <w:sz w:val="17"/>
              </w:rPr>
              <w:t>Línea indexada a base 100</w:t>
            </w:r>
          </w:p>
        </w:tc>
        <w:tc>
          <w:tcPr>
            <w:tcW w:type="dxa" w:w="5386"/>
            <w:shd w:val="clear" w:color="auto" w:fill="F4F7FA"/>
          </w:tcPr>
          <w:p>
            <w:r/>
            <w:r>
              <w:rPr>
                <w:color w:val="1C2733"/>
                <w:sz w:val="17"/>
              </w:rPr>
              <w:t>BTC, ETH y SOL cotizan en escalas muy distintas; indexar permite comparar desempeño relativo en un solo eje, evitando un gráfico de doble eje</w:t>
            </w:r>
          </w:p>
        </w:tc>
      </w:tr>
      <w:tr>
        <w:tc>
          <w:tcPr>
            <w:tcW w:type="dxa" w:w="1871"/>
          </w:tcPr>
          <w:p>
            <w:r/>
            <w:r>
              <w:rPr>
                <w:color w:val="1C2733"/>
                <w:sz w:val="17"/>
              </w:rPr>
              <w:t>Correlación de retornos</w:t>
            </w:r>
          </w:p>
        </w:tc>
        <w:tc>
          <w:tcPr>
            <w:tcW w:type="dxa" w:w="2098"/>
          </w:tcPr>
          <w:p>
            <w:r/>
            <w:r>
              <w:rPr>
                <w:color w:val="1C2733"/>
                <w:sz w:val="17"/>
              </w:rPr>
              <w:t>Heatmap divergente (azul ↔ rojo)</w:t>
            </w:r>
          </w:p>
        </w:tc>
        <w:tc>
          <w:tcPr>
            <w:tcW w:type="dxa" w:w="5386"/>
          </w:tcPr>
          <w:p>
            <w:r/>
            <w:r>
              <w:rPr>
                <w:color w:val="1C2733"/>
                <w:sz w:val="17"/>
              </w:rPr>
              <w:t>La correlación tiene signo y magnitud (-1 a +1); una paleta divergente comunica ambos de un vistazo — clave para decisiones de diversificación del robot</w:t>
            </w:r>
          </w:p>
        </w:tc>
      </w:tr>
      <w:tr>
        <w:tc>
          <w:tcPr>
            <w:tcW w:type="dxa" w:w="1871"/>
            <w:shd w:val="clear" w:color="auto" w:fill="F4F7FA"/>
          </w:tcPr>
          <w:p>
            <w:r/>
            <w:r>
              <w:rPr>
                <w:color w:val="1C2733"/>
                <w:sz w:val="17"/>
              </w:rPr>
              <w:t>Retorno acumulado</w:t>
            </w:r>
          </w:p>
        </w:tc>
        <w:tc>
          <w:tcPr>
            <w:tcW w:type="dxa" w:w="2098"/>
            <w:shd w:val="clear" w:color="auto" w:fill="F4F7FA"/>
          </w:tcPr>
          <w:p>
            <w:r/>
            <w:r>
              <w:rPr>
                <w:color w:val="1C2733"/>
                <w:sz w:val="17"/>
              </w:rPr>
              <w:t>Línea con línea base en 0</w:t>
            </w:r>
          </w:p>
        </w:tc>
        <w:tc>
          <w:tcPr>
            <w:tcW w:type="dxa" w:w="5386"/>
            <w:shd w:val="clear" w:color="auto" w:fill="F4F7FA"/>
          </w:tcPr>
          <w:p>
            <w:r/>
            <w:r>
              <w:rPr>
                <w:color w:val="1C2733"/>
                <w:sz w:val="17"/>
              </w:rPr>
              <w:t>Serie temporal continua; el 0 marca el punto de equilibrio entre ganancia y pérdida</w:t>
            </w:r>
          </w:p>
        </w:tc>
      </w:tr>
      <w:tr>
        <w:tc>
          <w:tcPr>
            <w:tcW w:type="dxa" w:w="1871"/>
          </w:tcPr>
          <w:p>
            <w:r/>
            <w:r>
              <w:rPr>
                <w:color w:val="1C2733"/>
                <w:sz w:val="17"/>
              </w:rPr>
              <w:t>Indicadores clave</w:t>
            </w:r>
          </w:p>
        </w:tc>
        <w:tc>
          <w:tcPr>
            <w:tcW w:type="dxa" w:w="2098"/>
          </w:tcPr>
          <w:p>
            <w:r/>
            <w:r>
              <w:rPr>
                <w:color w:val="1C2733"/>
                <w:sz w:val="17"/>
              </w:rPr>
              <w:t>Tarjetas KPI</w:t>
            </w:r>
          </w:p>
        </w:tc>
        <w:tc>
          <w:tcPr>
            <w:tcW w:type="dxa" w:w="5386"/>
          </w:tcPr>
          <w:p>
            <w:r/>
            <w:r>
              <w:rPr>
                <w:color w:val="1C2733"/>
                <w:sz w:val="17"/>
              </w:rPr>
              <w:t>Lectura inmediata para stakeholders no técnicos (gerencia de ProDev), con delta codificado por color</w:t>
            </w:r>
          </w:p>
        </w:tc>
      </w:tr>
    </w:tbl>
    <w:p>
      <w:r>
        <w:t>Un solo eje por gráfico en todos los casos (nunca doble eje); los colores por activo son fijos y consistentes en todo el dashboard (BTC azul, ETH naranja, SOL aqua), sobre una paleta categórica validada para daltonismo.</w:t>
      </w:r>
    </w:p>
    <w:p>
      <w:pPr>
        <w:pStyle w:val="Heading2"/>
      </w:pPr>
      <w:r>
        <w:t>5.3 Wireframe / prototipo</w:t>
      </w:r>
    </w:p>
    <w:p>
      <w:r>
        <w:t>El wireframe muestra, de arriba hacia abajo: (1) título y fila de filtros, (2) tarjetas KPI por activo seleccionado, (3) gráfico principal — velas + indicadores para un activo, o comparación normalizada + heatmap de correlación para varios —, (4) retorno acumulado del período, y (5) tabla de datos filtrable con descarga.</w:t>
      </w:r>
    </w:p>
    <w:p>
      <w:pPr>
        <w:jc w:val="center"/>
      </w:pPr>
      <w:r>
        <w:drawing>
          <wp:inline xmlns:a="http://schemas.openxmlformats.org/drawingml/2006/main" xmlns:pic="http://schemas.openxmlformats.org/drawingml/2006/picture">
            <wp:extent cx="5940000" cy="5241176"/>
            <wp:docPr id="3" name="Picture 3"/>
            <wp:cNvGraphicFramePr>
              <a:graphicFrameLocks noChangeAspect="1"/>
            </wp:cNvGraphicFramePr>
            <a:graphic>
              <a:graphicData uri="http://schemas.openxmlformats.org/drawingml/2006/picture">
                <pic:pic>
                  <pic:nvPicPr>
                    <pic:cNvPr id="0" name="wireframe.png"/>
                    <pic:cNvPicPr/>
                  </pic:nvPicPr>
                  <pic:blipFill>
                    <a:blip r:embed="rId13"/>
                    <a:stretch>
                      <a:fillRect/>
                    </a:stretch>
                  </pic:blipFill>
                  <pic:spPr>
                    <a:xfrm>
                      <a:off x="0" y="0"/>
                      <a:ext cx="5940000" cy="5241176"/>
                    </a:xfrm>
                    <a:prstGeom prst="rect"/>
                  </pic:spPr>
                </pic:pic>
              </a:graphicData>
            </a:graphic>
          </wp:inline>
        </w:drawing>
      </w:r>
    </w:p>
    <w:p>
      <w:pPr>
        <w:pStyle w:val="CaptionCustom"/>
      </w:pPr>
      <w:r>
        <w:t>Figura 3. Wireframe del dashboard — indicadores principales, gráficos, filtros y tabla de datos.</w:t>
      </w:r>
    </w:p>
    <w:p>
      <w:pPr>
        <w:pStyle w:val="Heading2"/>
      </w:pPr>
      <w:r>
        <w:t>5.4 Visualizaciones funcionales</w:t>
      </w:r>
    </w:p>
    <w:p>
      <w:r>
        <w:t>El dashboard está implementado y operativo en dashboard/app.py (Streamlit + Plotly), y corre tanto en local (streamlit run dashboard/app.py) como desplegado en una instancia EC2 (ver deploy/AWS_DEPLOY.md), con los filtros y gráficos descritos arriba conectados a datos reales del pipeline.</w:t>
      </w:r>
    </w:p>
    <w:p>
      <w:r>
        <w:br w:type="page"/>
      </w:r>
    </w:p>
    <w:p>
      <w:pPr>
        <w:pStyle w:val="Heading1"/>
      </w:pPr>
      <w:r>
        <w:t>6. Conclusiones y hoja de ruta</w:t>
      </w:r>
    </w:p>
    <w:p>
      <w:r>
        <w:t>CryptoPulse Analytics entrega a ProDev un producto de analítica de mercado — precio, riesgo y momentum — para BTC/ETH/SOL, construido y desplegado en producción sobre fuentes públicas e infraestructura de bajo costo (capa gratuita de AWS), sin requerir terminales profesionales de pago. Es una herramienta que aporta valor de forma autónoma, como capa de inteligencia de mercado y reporting para la empresa, independiente de cualquier otro proyecto interno.</w:t>
      </w:r>
    </w:p>
    <w:p>
      <w:r>
        <w:t>Próximos pasos sugeridos para evolucionar el producto:</w:t>
      </w:r>
    </w:p>
    <w:p>
      <w:pPr>
        <w:pStyle w:val="ListBullet"/>
      </w:pPr>
      <w:r>
        <w:rPr>
          <w:b/>
        </w:rPr>
        <w:t xml:space="preserve">Cobertura de activos: </w:t>
      </w:r>
      <w:r>
        <w:t>sumar más criptoactivos, o más adelante metales preciosos (oro/plata) vía una API dedicada, aprovechando que el modelo de datos (dimensión Asset) ya está preparado para activos adicionales.</w:t>
      </w:r>
    </w:p>
    <w:p>
      <w:pPr>
        <w:pStyle w:val="ListBullet"/>
      </w:pPr>
      <w:r>
        <w:rPr>
          <w:b/>
        </w:rPr>
        <w:t xml:space="preserve">Alertas automáticas: </w:t>
      </w:r>
      <w:r>
        <w:t>notificaciones (correo/Slack) cuando la volatilidad 30d supere un umbral definido o el drawdown de un activo cruce un límite de riesgo.</w:t>
      </w:r>
    </w:p>
    <w:p>
      <w:pPr>
        <w:pStyle w:val="ListBullet"/>
      </w:pPr>
      <w:r>
        <w:rPr>
          <w:b/>
        </w:rPr>
        <w:t xml:space="preserve">Reporting automatizado: </w:t>
      </w:r>
      <w:r>
        <w:t>exportar snapshots periódicos (PDF/Excel) de los KPIs para gerencia y clientes, además de la descarga CSV ya disponible.</w:t>
      </w:r>
    </w:p>
    <w:p>
      <w:pPr>
        <w:pStyle w:val="ListBullet"/>
      </w:pPr>
      <w:r>
        <w:rPr>
          <w:b/>
        </w:rPr>
        <w:t xml:space="preserve">Conexión con el robot de inversión (opcional): </w:t>
      </w:r>
      <w:r>
        <w:t>si en el futuro ProDev quisiera usar este dashboard como contexto adicional para su robot de inversión, el pipeline y el modelo de datos ya están preparados para esa integración — pero es una extensión opcional, no un requisito del proyecto actual.</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A"/>
        <w:sz w:val="18"/>
      </w:rPr>
    </w:r>
    <w:r>
      <w:rPr>
        <w:color w:val="5A6B7A"/>
        <w:sz w:val="18"/>
      </w:rPr>
      <w:t xml:space="preserve">Página </w:t>
    </w:r>
    <w:r>
      <w:rPr>
        <w:color w:val="5A6B7A"/>
        <w:sz w:val="18"/>
      </w:rPr>
      <w:fldChar w:fldCharType="begin"/>
      <w:instrText xml:space="preserve">PAGE</w:instrText>
      <w:fldChar w:fldCharType="separate"/>
      <w:fldChar w:fldCharType="end"/>
    </w:r>
    <w:r>
      <w:rPr>
        <w:color w:val="5A6B7A"/>
        <w:sz w:val="18"/>
      </w:rPr>
      <w:t xml:space="preserve"> de </w:t>
    </w:r>
    <w:r>
      <w:rPr>
        <w:color w:val="5A6B7A"/>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98" w:val="right"/>
      </w:tabs>
      <w:pBdr>
        <w:bottom w:val="single" w:sz="6" w:space="4" w:color="C7D0D8"/>
      </w:pBdr>
    </w:pPr>
    <w:r/>
    <w:r>
      <w:rPr>
        <w:b/>
        <w:color w:val="5A6B7A"/>
        <w:sz w:val="18"/>
      </w:rPr>
      <w:t>CryptoPulse Analytics</w:t>
    </w:r>
    <w:r>
      <w:rPr>
        <w:color w:val="5A6B7A"/>
        <w:sz w:val="18"/>
      </w:rPr>
      <w:tab/>
      <w:t>Informe para ProDev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2A3F5C"/>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A3F5C"/>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C27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280"/>
      <w:jc w:val="center"/>
    </w:pPr>
    <w:rPr>
      <w:rFonts w:ascii="Calibri" w:hAnsi="Calibri"/>
      <w:i/>
      <w:color w:val="5A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