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cpf int(11),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 varchar(59),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cep int(8),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datanasc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 varchar(256),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senha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 key(cpf));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idprod int(20),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cpf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primary key(idprod),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foreign key (cpf) references cliente (cpf));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pc(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codpc int(20),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processador varchar(59),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armazenamento int(255),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placamae varchar(59),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memram varchar(59),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placavid varchar(59),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fonte varchar(59),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idprod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key(codpc),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foreign key (idprod) references produto(idprod));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monitor(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codmonitor int(20),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resolucao varchar(59),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idprod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primary key(codmonitor),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foreign key (idprod) references produto(idprod));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teclado(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codteclado int(20),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tipo boolean,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idprod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primary key(codteclado),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foreign key (idprod) references produto(idprod));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mouse(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codmouse int(20),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tipo boolean,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idprod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key(codmouse),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(idprod) references produto(idprod));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headset(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codhs int(20),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tipo boolean,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mic boolean,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idprod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primary key(codhs),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(idprod) references produto(idprod));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