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keepLines/>
        <w:ind w:firstLine="0"/>
      </w:pPr>
      <w:r>
        <w:t>Atendimento de iluminação pública: análise das solicitações do Recife</w:t>
      </w:r>
    </w:p>
    <w:p>
      <w:pPr>
        <w:pStyle w:val="Author"/>
        <w:keepLines/>
        <w:ind w:firstLine="0"/>
      </w:pPr>
      <w:r>
        <w:t>Luís Henrique, Alan Vitor e Kaique William</w:t>
      </w:r>
    </w:p>
    <w:p>
      <w:pPr>
        <w:pStyle w:val="Address"/>
        <w:keepLines/>
        <w:ind w:firstLine="0"/>
      </w:pPr>
      <w:r>
        <w:t>Universidade do Estado da Bahia (UNEB)</w:t>
      </w:r>
    </w:p>
    <w:p>
      <w:pPr>
        <w:pStyle w:val="Heading1"/>
        <w:keepLines/>
        <w:ind w:firstLine="0"/>
      </w:pPr>
      <w:r>
        <w:t>1. Introdução</w:t>
      </w:r>
    </w:p>
    <w:p>
      <w:pPr>
        <w:keepLines/>
        <w:ind w:firstLine="0"/>
        <w:jc w:val="both"/>
      </w:pPr>
      <w:r>
        <w:t>Os registros de atendimento da iluminação pública do Recife são publicados pela Central 156 em um arquivo CSV. A análise desse arquivo exige organizar e relacionar os dados para identificar a concentração de solicitações por bairro e serviço e comparar a situação publicada e o intervalo até o atendimento registrado.</w:t>
      </w:r>
    </w:p>
    <w:p>
      <w:pPr>
        <w:keepLines/>
        <w:ind w:firstLine="720"/>
        <w:jc w:val="both"/>
      </w:pPr>
      <w:r>
        <w:t>A solução proposta é um banco de dados relacional com carga reproduzível e um modelo multidimensional. Essa estrutura permite consultar os registros por território, serviço e período para apoiar a seleção de demandas que precisam de revisão pela gestão municipal.</w:t>
      </w:r>
    </w:p>
    <w:p>
      <w:pPr>
        <w:keepLines/>
        <w:ind w:firstLine="720"/>
        <w:jc w:val="both"/>
      </w:pPr>
      <w:r>
        <w:t>A proposta se relaciona às metas 11.7 e 11.3 do Objetivo de Desenvolvimento Sustentável 11 (ODS 11), que tratam do acesso a espaços públicos e da gestão urbana. As metas são apresentadas pelo Instituto de Pesquisa Econômica Aplicada (Ipea) em seu portal sobre os ODS [Ipea, 2026]. A iluminação faz parte das condições de uso de ruas e espaços públicos. As informações de atendimento permitem estudar esse serviço, mas não medem os indicadores oficiais das metas nem demonstram efeitos sobre segurança, consumo de energia ou emissões.</w:t>
      </w:r>
    </w:p>
    <w:p>
      <w:pPr>
        <w:pStyle w:val="Heading1"/>
        <w:keepLines/>
        <w:ind w:firstLine="0"/>
      </w:pPr>
      <w:r>
        <w:t>2. Dados e requisitos</w:t>
      </w:r>
    </w:p>
    <w:p>
      <w:pPr>
        <w:keepLines/>
        <w:ind w:firstLine="0"/>
        <w:jc w:val="both"/>
      </w:pPr>
      <w:r>
        <w:t>Os dados vêm do CSV da Central 156 da Autarquia de Manutenção e Limpeza Urbana do Recife (EMLURB) [Emlurb, 2026]. A base está disponível no portal de dados abertos municipal sob licença Open Database License (ODbL) [Recife, 2026]. O recorte reúne 34.492 registros do grupo ILUMINACAO PUBLICA, com demandas abertas de 01/01 a 31/08/2025. O arquivo foi baixado diretamente em 18/10/2026, sem scraping. Um manifesto documenta a origem, as transformações e o hash SHA-256 que identifica a versão utilizada.</w:t>
      </w:r>
    </w:p>
    <w:p>
      <w:pPr>
        <w:keepNext/>
        <w:keepLines/>
        <w:ind w:firstLine="0"/>
        <w:jc w:val="both"/>
      </w:pPr>
      <w:r>
        <w:t>Os requisitos funcionais (RF) do sistema são:</w:t>
      </w:r>
    </w:p>
    <w:tbl>
      <w:tblPr>
        <w:tblW w:type="dxa" w:w="8504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" w:type="dxa"/>
          <w:bottom w:w="10" w:type="dxa"/>
          <w:left w:w="40" w:type="dxa"/>
          <w:right w:w="40" w:type="dxa"/>
        </w:tblCellMar>
      </w:tblPr>
      <w:tblGrid>
        <w:gridCol w:w="850"/>
        <w:gridCol w:w="7654"/>
      </w:tblGrid>
      <w:tr>
        <w:trPr>
          <w:cantSplit/>
          <w:tblHeader/>
        </w:trPr>
        <w:tc>
          <w:tcPr>
            <w:tcW w:type="dxa" w:w="850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Código</w:t>
            </w:r>
          </w:p>
        </w:tc>
        <w:tc>
          <w:tcPr>
            <w:tcW w:type="dxa" w:w="7654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Descrição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RF01</w:t>
            </w:r>
          </w:p>
        </w:tc>
        <w:tc>
          <w:tcPr>
            <w:tcW w:type="dxa" w:w="7654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Importar o recorte de iluminação pública e registrar a origem dos dados.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RF02</w:t>
            </w:r>
          </w:p>
        </w:tc>
        <w:tc>
          <w:tcPr>
            <w:tcW w:type="dxa" w:w="7654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Relacionar região político-administrativa (RPA), bairro, grupo de serviço, serviço, situação e solicitação.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RF03</w:t>
            </w:r>
          </w:p>
        </w:tc>
        <w:tc>
          <w:tcPr>
            <w:tcW w:type="dxa" w:w="7654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Preservar o endereço e as datas de abertura e de última situação.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RF04</w:t>
            </w:r>
          </w:p>
        </w:tc>
        <w:tc>
          <w:tcPr>
            <w:tcW w:type="dxa" w:w="7654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Rejeitar chaves duplicadas, referências inexistentes e datas invertidas.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RF05</w:t>
            </w:r>
          </w:p>
        </w:tc>
        <w:tc>
          <w:tcPr>
            <w:tcW w:type="dxa" w:w="7654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Consultar volume e situação por bairro, RPA, serviço e mês de abertura.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RF06</w:t>
            </w:r>
          </w:p>
        </w:tc>
        <w:tc>
          <w:tcPr>
            <w:tcW w:type="dxa" w:w="7654"/>
            <w:vAlign w:val="center"/>
          </w:tcPr>
          <w:p>
            <w:pPr>
              <w:pStyle w:val="Normal"/>
              <w:keepNext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Calcular o intervalo até a última situação, separando ATENDIDA das demais.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Normal"/>
              <w:keepNext w:val="0"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RF07</w:t>
            </w:r>
          </w:p>
        </w:tc>
        <w:tc>
          <w:tcPr>
            <w:tcW w:type="dxa" w:w="7654"/>
            <w:vAlign w:val="center"/>
          </w:tcPr>
          <w:p>
            <w:pPr>
              <w:pStyle w:val="Normal"/>
              <w:keepNext w:val="0"/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Refazer a carga analítica com o mesmo conteúdo a partir da fonte selecionada.</w:t>
            </w:r>
          </w:p>
        </w:tc>
      </w:tr>
    </w:tbl>
    <w:p>
      <w:pPr>
        <w:keepLines/>
        <w:ind w:firstLine="720"/>
        <w:jc w:val="both"/>
      </w:pPr>
      <w:r>
        <w:t>Cadastro de cidadãos, equipes, ordens de serviço e inventário de postes ficam fora do escopo.</w:t>
      </w:r>
    </w:p>
    <w:p>
      <w:pPr>
        <w:pStyle w:val="Heading1"/>
        <w:keepLines/>
        <w:ind w:firstLine="0"/>
      </w:pPr>
      <w:r>
        <w:t>3. Modelagem dos dados</w:t>
      </w:r>
    </w:p>
    <w:p>
      <w:pPr>
        <w:keepLines/>
        <w:ind w:firstLine="0"/>
        <w:jc w:val="both"/>
      </w:pPr>
      <w:r>
        <w:t xml:space="preserve">O modelo transacional (OLTP, Online Transaction Processing) tem seis entidades (Figura 1). A RPA reúne bairros, enquanto </w:t>
      </w:r>
      <w:r>
        <w:rPr>
          <w:i/>
        </w:rPr>
        <w:t>grupo_servico</w:t>
      </w:r>
      <w:r>
        <w:t xml:space="preserve"> reúne os tipos de serviço. A entidade </w:t>
      </w:r>
      <w:r>
        <w:rPr>
          <w:i/>
        </w:rPr>
        <w:t>solicitacao</w:t>
      </w:r>
      <w:r>
        <w:t xml:space="preserve"> associa bairro, serviço e situação ao endereço e às datas da demanda. O cadastro de situações contém os estados publicados pela fonte. Como o recorte abrange apenas iluminação, </w:t>
      </w:r>
      <w:r>
        <w:rPr>
          <w:i/>
        </w:rPr>
        <w:t>grupo_servico</w:t>
      </w:r>
      <w:r>
        <w:t xml:space="preserve"> tem um único registro. Todos esses domínios existem no CSV. As entidades mostram as chaves primárias (PK) e estrangeiras (FK).</w:t>
      </w:r>
    </w:p>
    <w:p>
      <w:pPr>
        <w:pStyle w:val="Figure"/>
        <w:keepNext/>
        <w:keepLines/>
        <w:ind w:firstLine="0"/>
        <w:jc w:val="center"/>
      </w:pPr>
      <w:r>
        <w:drawing>
          <wp:inline xmlns:a="http://schemas.openxmlformats.org/drawingml/2006/main">
            <wp:extent cx="5400000" cy="28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tp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Lines/>
        <w:spacing w:after="120"/>
        <w:ind w:firstLine="0"/>
      </w:pPr>
      <w:r>
        <w:t>Figura 1. Diagrama entidade-relacionamento (DER) do modelo OLTP.</w:t>
      </w:r>
    </w:p>
    <w:p>
      <w:pPr>
        <w:keepLines/>
        <w:ind w:firstLine="720"/>
        <w:jc w:val="both"/>
      </w:pPr>
      <w:r>
        <w:t xml:space="preserve">O CSV não contém protocolo público. Por isso, </w:t>
      </w:r>
      <w:r>
        <w:rPr>
          <w:i/>
        </w:rPr>
        <w:t>solicitacao_id</w:t>
      </w:r>
      <w:r>
        <w:t xml:space="preserve"> usa a posição da linha de dados no arquivo original, identificado pelo hash. A chave vale apenas nessa versão. O banco armazena a última situação disponível, sem criar etapas de atendimento que a fonte não informa. As restrições SQL rejeitam datas invertidas, chaves duplicadas e referências a cadastros inexistentes.</w:t>
      </w:r>
    </w:p>
    <w:p>
      <w:pPr>
        <w:keepLines/>
        <w:ind w:firstLine="720"/>
        <w:jc w:val="both"/>
      </w:pPr>
      <w:r>
        <w:t>O modelo analítico (OLAP, Online Analytical Processing) segue um esquema estrela, com um registro na tabela fato para cada solicitação publicada (Figura 2). As quatro dimensões são data, bairro, serviço e situação. A dimensão de data é consultada em dois papéis: abertura da demanda e última situação. RPA é um atributo de bairro, e grupo é um atributo de serviço.</w:t>
      </w:r>
    </w:p>
    <w:p>
      <w:pPr>
        <w:pStyle w:val="Figure"/>
        <w:keepNext/>
        <w:keepLines/>
        <w:ind w:firstLine="0"/>
        <w:jc w:val="center"/>
      </w:pPr>
      <w:r>
        <w:drawing>
          <wp:inline xmlns:a="http://schemas.openxmlformats.org/drawingml/2006/main">
            <wp:extent cx="5400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ap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keepLines/>
        <w:spacing w:after="120"/>
        <w:ind w:firstLine="0"/>
      </w:pPr>
      <w:r>
        <w:t>Figura 2. DER do modelo OLAP com duas relações para a dimensão de data.</w:t>
      </w:r>
    </w:p>
    <w:p>
      <w:pPr>
        <w:keepLines/>
        <w:ind w:firstLine="720"/>
        <w:jc w:val="both"/>
      </w:pPr>
      <w:r>
        <w:t xml:space="preserve">A tabela fato contém a </w:t>
      </w:r>
      <w:r>
        <w:rPr>
          <w:i/>
        </w:rPr>
        <w:t>quantidade</w:t>
      </w:r>
      <w:r>
        <w:t>, fixada em 1 por registro, e o intervalo em dias entre a demanda e a última situação. A análise do intervalo até o atendimento deve considerar somente os registros ATENDIDA. Para as demais situações, esse valor indica apenas o tempo até a movimentação publicada. Mesmo em ATENDIDA, ele não comprova quanto durou o reparo físico.</w:t>
      </w:r>
    </w:p>
    <w:p>
      <w:pPr>
        <w:pStyle w:val="Heading1"/>
        <w:keepLines/>
        <w:ind w:firstLine="0"/>
      </w:pPr>
      <w:r>
        <w:t>4. Implementação e validação</w:t>
      </w:r>
    </w:p>
    <w:p>
      <w:pPr>
        <w:keepLines/>
        <w:ind w:firstLine="0"/>
        <w:jc w:val="both"/>
      </w:pPr>
      <w:r>
        <w:t>A implementação usa PostgreSQL 16 e Python 3. O tratamento retira espaços das extremidades dos textos, mantém os códigos oficiais de RPA, grupo e serviço e cria chaves locais para bairros e situações. Valores ausentes permanecem sem preenchimento, e registros no mesmo endereço são mantidos. A análise territorial usa bairro e RPA. As coordenadas ficaram fora do modelo porque faltam em 31.127 registros.</w:t>
      </w:r>
    </w:p>
    <w:p>
      <w:pPr>
        <w:keepLines/>
        <w:ind w:firstLine="720"/>
        <w:jc w:val="both"/>
      </w:pPr>
      <w:r>
        <w:t>O roteiro SQL criou e carregou seis tabelas OLTP, quatro dimensões e uma tabela fato. A carga contém 34.492 registros, distribuídos por 93 bairros, seis RPAs, dez serviços e cinco situações. A comparação entre os modelos, feita por identificador, chaves, datas e medida, não encontrou divergências. Os testes confirmaram a rejeição de PK duplicada, FK inexistente e última situação anterior à demanda. Repetir a carga OLAP preservou o conteúdo.</w:t>
      </w:r>
    </w:p>
    <w:p>
      <w:pPr>
        <w:keepLines/>
        <w:ind w:firstLine="720"/>
        <w:jc w:val="both"/>
      </w:pPr>
      <w:r>
        <w:t>Na versão analisada, 33.662 registros estão como ATENDIDA e 830 têm outras situações. Entre os registros ATENDIDA, a mediana do intervalo até esse status é de dois dias. Há datas de última situação até 10/09/2025, posteriores ao fim do período de abertura selecionado. Assim, os 830 registros descrevem o estado publicado no arquivo, não o estoque pendente em 31/08/2025 ou o atendimento atual do município.</w:t>
      </w:r>
    </w:p>
    <w:p>
      <w:pPr>
        <w:keepLines/>
        <w:ind w:firstLine="720"/>
        <w:jc w:val="both"/>
      </w:pPr>
      <w:r>
        <w:t>O dicionário de dados documenta as 42 colunas dos modelos, com tipos, obrigatoriedade de preenchimento, chaves e restrições. Os scripts SQL permitem criar os dois ambientes e reproduzir a carga a partir do recorte selecionado. As conferências de integridade e a identificação da fonte permitem verificar os resultados apresentados.</w:t>
      </w:r>
    </w:p>
    <w:p>
      <w:pPr>
        <w:pStyle w:val="Heading1"/>
        <w:keepLines/>
        <w:ind w:firstLine="0"/>
      </w:pPr>
      <w:r>
        <w:t>5. Limites e continuidade</w:t>
      </w:r>
    </w:p>
    <w:p>
      <w:pPr>
        <w:keepLines/>
        <w:ind w:firstLine="0"/>
        <w:jc w:val="both"/>
      </w:pPr>
      <w:r>
        <w:t>As consultas ajudam a selecionar bairros e serviços para investigação. A base, porém, não informa o tamanho da rede, os custos ou os prazos contratuais de atendimento. Também não identifica cada poste nem permite saber se dois registros se referem ao mesmo defeito. Por isso, o projeto não estima taxas de falha por ponto de luz. O OLTP é um protótipo construído com dados públicos, sem integração com o sistema interno da prefeitura.</w:t>
      </w:r>
    </w:p>
    <w:p>
      <w:pPr>
        <w:keepLines/>
        <w:ind w:firstLine="720"/>
        <w:jc w:val="both"/>
      </w:pPr>
      <w:r>
        <w:t>Para a entrega de 06/11/2026, o trabalho prevê dashboards operacional, tático e estratégico, com cinco consultas em cada nível, um agrupamento exploratório de bairros e um plano de ação 5W2H para definir ações, justificativas, locais, prazos, responsáveis, procedimentos e custos. Os perfis encontrados servirão de base para propor a revisão de registros e a seleção de locais para verificação. A aplicação dessas ações dependerá de confirmação com o órgão responsável.</w:t>
      </w:r>
    </w:p>
    <w:p>
      <w:pPr>
        <w:pStyle w:val="Heading1"/>
        <w:keepLines/>
        <w:ind w:firstLine="0"/>
      </w:pPr>
      <w:r>
        <w:t>Referências</w:t>
      </w:r>
    </w:p>
    <w:p>
      <w:pPr>
        <w:keepLines/>
        <w:ind w:left="283" w:hanging="283"/>
        <w:jc w:val="left"/>
      </w:pPr>
      <w:r>
        <w:t>Emlurb (2026). Sobre. Autarquia de Manutenção e Limpeza Urbana do Recife. https://emlurb.recife.pe.gov.br/sobre-0. Acesso em 18 out. 2026.</w:t>
      </w:r>
    </w:p>
    <w:p>
      <w:pPr>
        <w:keepLines/>
        <w:ind w:left="283" w:hanging="283"/>
        <w:jc w:val="left"/>
      </w:pPr>
      <w:r>
        <w:t>Instituto de Pesquisa Econômica Aplicada (Ipea) (2026). ODS 11: Cidades e comunidades sustentáveis. https://www.ipea.gov.br/ods/ods11.html. Acesso em 18 out. 2026.</w:t>
      </w:r>
    </w:p>
    <w:p>
      <w:pPr>
        <w:keepLines/>
        <w:ind w:left="283" w:hanging="283"/>
        <w:jc w:val="left"/>
      </w:pPr>
      <w:r>
        <w:t>Recife (2026). Central de Atendimento de Serviços da EMLURB 156. Recurso 2025, Prefeitura do Recife. https://dados.recife.pe.gov.br/dataset/central-de-atendimento-de-servicos-da-emlurb-156. Acesso em 18 out. 2026.</w:t>
      </w:r>
    </w:p>
    <w:sectPr>
      <w:type w:val="continuous"/>
      <w:pgSz w:w="11906" w:h="16838"/>
      <w:pgMar w:left="1701" w:right="1701" w:gutter="0" w:header="964" w:top="1985" w:footer="0" w:bottom="1418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swiss"/>
    <w:pitch w:val="variable"/>
  </w:font>
  <w:font w:name="Courier New">
    <w:charset w:val="00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right" w:pos="9356" w:leader="none"/>
      </w:tabs>
      <w:spacing w:before="120" w:after="0"/>
      <w:rPr/>
    </w:pPr>
    <w:r>
      <w:rPr/>
    </w:r>
    <w:r>
      <mc:AlternateContent>
        <mc:Choice Requires="wps">
          <w:drawing>
            <wp:anchor distT="0" distB="0" distL="0" distR="0" simplePos="0" relativeHeight="8" behindDoc="0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14605" cy="25908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590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/>
                            <w:bidi w:val="0"/>
                            <w:spacing w:before="120" w:after="0"/>
                            <w:jc w:val="both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20.4pt;mso-wrap-distance-left:0pt;mso-wrap-distance-right:0pt;mso-wrap-distance-top:0pt;mso-wrap-distance-bottom:0pt;margin-top:0.05pt;mso-position-vertical-relative:text;margin-left:424.05pt;mso-position-horizontal:inside;mso-position-horizontal-relative:margin">
              <v:fill opacity="0f"/>
              <v:textbox inset="0in,0in,0in,0in">
                <w:txbxContent>
                  <w:p>
                    <w:pPr>
                      <w:pStyle w:val="Normal"/>
                      <w:widowControl/>
                      <w:bidi w:val="0"/>
                      <w:spacing w:before="120" w:after="0"/>
                      <w:jc w:val="both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mirrorMargins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09"/>
        <w:tab w:val="left" w:pos="720" w:leader="none"/>
      </w:tabs>
      <w:bidi w:val="0"/>
      <w:spacing w:before="120" w:after="0" w:line="240" w:lineRule="auto"/>
      <w:jc w:val="both"/>
    </w:pPr>
    <w:rPr>
      <w:rFonts w:ascii="Times New Roman" w:hAnsi="Times New Roman" w:eastAsia="Times New Roman" w:cs="Times"/>
      <w:color w:val="auto"/>
      <w:sz w:val="24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/>
      <w:spacing w:lineRule="auto" w:line="240" w:before="240" w:after="240"/>
      <w:jc w:val="left"/>
      <w:outlineLvl w:val="0"/>
    </w:pPr>
    <w:rPr>
      <w:b/>
      <w:kern w:val="2"/>
      <w:sz w:val="26"/>
    </w:rPr>
  </w:style>
  <w:style w:type="paragraph" w:styleId="Heading2">
    <w:name w:val="heading 2"/>
    <w:basedOn w:val="Normal"/>
    <w:next w:val="Normal"/>
    <w:qFormat/>
    <w:pPr>
      <w:keepNext/>
      <w:spacing w:lineRule="auto" w:line="240" w:before="240" w:after="24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240" w:after="0"/>
      <w:outlineLvl w:val="2"/>
    </w:pPr>
    <w:rPr>
      <w:rFonts w:ascii="Helvetica" w:hAnsi="Helvetica" w:cs="Helvetica"/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240" w:after="0"/>
      <w:outlineLvl w:val="3"/>
    </w:pPr>
    <w:rPr>
      <w:rFonts w:ascii="Arial" w:hAnsi="Arial" w:cs="Arial"/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40" w:before="240" w:after="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Fontepargpadro">
    <w:name w:val="Fonte parág. padrão"/>
    <w:qFormat/>
    <w:rPr/>
  </w:style>
  <w:style w:type="character" w:styleId="AddressChar">
    <w:name w:val="Address Char"/>
    <w:basedOn w:val="Fontepargpadro"/>
    <w:qFormat/>
    <w:rPr>
      <w:rFonts w:ascii="Times" w:hAnsi="Times" w:cs="Times"/>
      <w:sz w:val="24"/>
      <w:lang w:val="pt-BR" w:bidi="ar-SA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spacing w:before="240" w:after="0"/>
      <w:ind w:firstLine="397" w:start="0" w:end="0"/>
      <w:jc w:val="center"/>
    </w:pPr>
    <w:rPr>
      <w:rFonts w:cs="Arial"/>
      <w:b/>
      <w:bCs/>
      <w:sz w:val="32"/>
      <w:szCs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Author">
    <w:name w:val="Author"/>
    <w:basedOn w:val="Normal"/>
    <w:qFormat/>
    <w:pPr>
      <w:spacing w:before="240" w:after="0"/>
      <w:jc w:val="center"/>
    </w:pPr>
    <w:rPr>
      <w:b/>
      <w:szCs w:val="24"/>
    </w:rPr>
  </w:style>
  <w:style w:type="paragraph" w:styleId="Address">
    <w:name w:val="Address"/>
    <w:basedOn w:val="Normal"/>
    <w:qFormat/>
    <w:pPr>
      <w:spacing w:before="240" w:after="0"/>
      <w:jc w:val="center"/>
    </w:pPr>
    <w:rPr>
      <w:lang w:val="pt-BR"/>
    </w:rPr>
  </w:style>
  <w:style w:type="paragraph" w:styleId="Email">
    <w:name w:val="Email"/>
    <w:basedOn w:val="Normal"/>
    <w:qFormat/>
    <w:pPr>
      <w:spacing w:before="120" w:after="120"/>
      <w:jc w:val="center"/>
    </w:pPr>
    <w:rPr>
      <w:rFonts w:ascii="Courier New" w:hAnsi="Courier New" w:cs="Courier New"/>
      <w:sz w:val="20"/>
    </w:rPr>
  </w:style>
  <w:style w:type="paragraph" w:styleId="Abstract">
    <w:name w:val="Abstract"/>
    <w:basedOn w:val="Normal"/>
    <w:qFormat/>
    <w:pPr>
      <w:spacing w:before="120" w:after="120"/>
      <w:ind w:hanging="0" w:start="454" w:end="454"/>
    </w:pPr>
    <w:rPr>
      <w:i/>
      <w:szCs w:val="24"/>
      <w:lang w:val="pt-BR"/>
    </w:rPr>
  </w:style>
  <w:style w:type="paragraph" w:styleId="Figure">
    <w:name w:val="Figure"/>
    <w:basedOn w:val="Normal"/>
    <w:qFormat/>
    <w:pPr>
      <w:jc w:val="center"/>
    </w:pPr>
    <w:rPr>
      <w:lang w:val="en-US" w:eastAsia="en-US"/>
    </w:rPr>
  </w:style>
  <w:style w:type="paragraph" w:styleId="Reference">
    <w:name w:val="Reference"/>
    <w:basedOn w:val="Normal"/>
    <w:qFormat/>
    <w:pPr>
      <w:ind w:hanging="284" w:start="284" w:end="0"/>
    </w:pPr>
    <w:rPr/>
  </w:style>
  <w:style w:type="paragraph" w:styleId="Legenda">
    <w:name w:val="Legenda"/>
    <w:basedOn w:val="Normal"/>
    <w:next w:val="Normal"/>
    <w:qFormat/>
    <w:pPr>
      <w:spacing w:before="120" w:after="120"/>
      <w:ind w:hanging="0" w:start="454" w:end="454"/>
      <w:jc w:val="center"/>
    </w:pPr>
    <w:rPr>
      <w:rFonts w:ascii="Helvetica" w:hAnsi="Helvetica" w:cs="Helvetica"/>
      <w:b/>
      <w:bCs/>
      <w:sz w:val="20"/>
    </w:rPr>
  </w:style>
  <w:style w:type="paragraph" w:styleId="Pr-formataoHTML">
    <w:name w:val="Pré-formatação HTML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  <w:jc w:val="start"/>
    </w:pPr>
    <w:rPr>
      <w:rFonts w:ascii="Courier New" w:hAnsi="Courier New" w:cs="Courier New"/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jpeg"/><Relationship Id="rId6" Type="http://schemas.openxmlformats.org/officeDocument/2006/relationships/hyperlink" Target="http://reality.sgi.com/employees/jam_sb/mocap/MoCapWP_v2.0.html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sbc-template.dot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2005-03-18T15:16:00Z</dcterms:created>
  <dc:creator/>
  <dc:description/>
  <cp:keywords/>
  <dc:language>en-US</dc:language>
  <cp:lastModifiedBy/>
  <cp:lastPrinted>2005-03-16T23:14:00Z</cp:lastPrinted>
  <dcterms:modified xsi:type="dcterms:W3CDTF">2010-08-03T10:14:00Z</dcterms:modified>
  <cp:revision>2</cp:revision>
  <dc:subject/>
  <dc:title>Atendimento de iluminação pública: banco de dados para análise das solicitações do Recife</dc:title>
</cp:coreProperties>
</file>