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F645F" w14:textId="77777777" w:rsidR="00045316" w:rsidRDefault="00FA02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Tablas para medir los algoritmos</w:t>
      </w:r>
    </w:p>
    <w:p w14:paraId="235F6460" w14:textId="77777777" w:rsidR="00045316" w:rsidRDefault="00045316">
      <w:pPr>
        <w:rPr>
          <w:b/>
          <w:sz w:val="28"/>
          <w:szCs w:val="28"/>
        </w:rPr>
      </w:pPr>
    </w:p>
    <w:p w14:paraId="235F6461" w14:textId="77777777" w:rsidR="00045316" w:rsidRDefault="00FA021F">
      <w:pPr>
        <w:rPr>
          <w:b/>
          <w:sz w:val="26"/>
          <w:szCs w:val="26"/>
        </w:rPr>
      </w:pPr>
      <w:r>
        <w:rPr>
          <w:b/>
          <w:sz w:val="26"/>
          <w:szCs w:val="26"/>
        </w:rPr>
        <w:t>Métodos sin Información</w:t>
      </w:r>
    </w:p>
    <w:p w14:paraId="235F6462" w14:textId="77777777" w:rsidR="00045316" w:rsidRDefault="00045316">
      <w:pPr>
        <w:rPr>
          <w:b/>
          <w:sz w:val="28"/>
          <w:szCs w:val="28"/>
        </w:rPr>
      </w:pPr>
    </w:p>
    <w:tbl>
      <w:tblPr>
        <w:tblStyle w:val="a"/>
        <w:tblW w:w="9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34"/>
        <w:gridCol w:w="1230"/>
        <w:gridCol w:w="1597"/>
        <w:gridCol w:w="1641"/>
        <w:gridCol w:w="1530"/>
        <w:gridCol w:w="1680"/>
      </w:tblGrid>
      <w:tr w:rsidR="00045316" w14:paraId="235F6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  <w:jc w:val="center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3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4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Cantidad de nodos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5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Complejidad temporal (segundos)</w:t>
            </w:r>
          </w:p>
        </w:tc>
        <w:tc>
          <w:tcPr>
            <w:tcW w:w="16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6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Complejidad especial (bytes)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7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1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8" w14:textId="77777777" w:rsidR="00045316" w:rsidRDefault="00FA02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Optimalidad</w:t>
            </w:r>
            <w:proofErr w:type="spellEnd"/>
          </w:p>
        </w:tc>
      </w:tr>
      <w:tr w:rsidR="00045316" w14:paraId="235F6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A" w14:textId="77777777" w:rsidR="00045316" w:rsidRDefault="00045316"/>
          <w:p w14:paraId="235F646B" w14:textId="77777777" w:rsidR="00045316" w:rsidRDefault="00FA021F">
            <w:proofErr w:type="spellStart"/>
            <w:r>
              <w:t>Depth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C" w14:textId="77777777" w:rsidR="00045316" w:rsidRDefault="00FA021F">
            <w:r>
              <w:t>10 - 100 (44)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D" w14:textId="77777777" w:rsidR="00045316" w:rsidRDefault="00FA021F">
            <w:r>
              <w:t>0.008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E" w14:textId="77777777" w:rsidR="00045316" w:rsidRDefault="00FA021F">
            <w:r>
              <w:t>3202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6F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0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4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2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3" w14:textId="77777777" w:rsidR="00045316" w:rsidRDefault="00FA021F">
            <w:r>
              <w:t>10 – 100 (66)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4" w14:textId="77777777" w:rsidR="00045316" w:rsidRDefault="00FA021F">
            <w:r>
              <w:t>0.008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5" w14:textId="77777777" w:rsidR="00045316" w:rsidRDefault="00FA021F">
            <w:r>
              <w:t>5504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6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7" w14:textId="77777777" w:rsidR="00045316" w:rsidRDefault="00045316">
            <w:pPr>
              <w:spacing w:line="240" w:lineRule="auto"/>
            </w:pPr>
          </w:p>
        </w:tc>
      </w:tr>
      <w:tr w:rsidR="00045316" w14:paraId="235F6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9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A" w14:textId="77777777" w:rsidR="00045316" w:rsidRDefault="00FA021F">
            <w:r>
              <w:t>10000 – 1000000 (178633)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B" w14:textId="77777777" w:rsidR="00045316" w:rsidRDefault="00FA021F">
            <w:r>
              <w:t>118.861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C" w14:textId="77777777" w:rsidR="00045316" w:rsidRDefault="00FA021F">
            <w:r>
              <w:t>849852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D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7E" w14:textId="77777777" w:rsidR="00045316" w:rsidRDefault="00045316">
            <w:pPr>
              <w:spacing w:line="240" w:lineRule="auto"/>
            </w:pPr>
          </w:p>
        </w:tc>
      </w:tr>
      <w:tr w:rsidR="00045316" w14:paraId="235F6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0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1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2" w14:textId="77777777" w:rsidR="00045316" w:rsidRDefault="00FA021F">
            <w:r>
              <w:t>0.172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3" w14:textId="77777777" w:rsidR="00045316" w:rsidRDefault="00FA021F">
            <w:r>
              <w:t>64136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4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5" w14:textId="77777777" w:rsidR="00045316" w:rsidRDefault="00045316">
            <w:pPr>
              <w:spacing w:line="240" w:lineRule="auto"/>
            </w:pPr>
          </w:p>
        </w:tc>
      </w:tr>
      <w:tr w:rsidR="00045316" w14:paraId="235F6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7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8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9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A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B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C" w14:textId="77777777" w:rsidR="00045316" w:rsidRDefault="00045316">
            <w:pPr>
              <w:spacing w:line="240" w:lineRule="auto"/>
            </w:pPr>
          </w:p>
        </w:tc>
      </w:tr>
      <w:tr w:rsidR="00045316" w14:paraId="235F6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E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8F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0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1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2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3" w14:textId="77777777" w:rsidR="00045316" w:rsidRDefault="00045316">
            <w:pPr>
              <w:spacing w:line="240" w:lineRule="auto"/>
            </w:pPr>
          </w:p>
        </w:tc>
      </w:tr>
      <w:tr w:rsidR="00045316" w14:paraId="235F6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5" w14:textId="77777777" w:rsidR="00045316" w:rsidRDefault="00FA021F">
            <w:proofErr w:type="spellStart"/>
            <w:r>
              <w:t>Depth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  <w:p w14:paraId="235F6496" w14:textId="77777777" w:rsidR="00045316" w:rsidRDefault="00FA021F">
            <w:r>
              <w:t xml:space="preserve"> </w:t>
            </w:r>
          </w:p>
          <w:p w14:paraId="235F6497" w14:textId="77777777" w:rsidR="00045316" w:rsidRDefault="00FA021F">
            <w:r>
              <w:t xml:space="preserve"> 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8" w14:textId="77777777" w:rsidR="00045316" w:rsidRDefault="00FA021F">
            <w:r>
              <w:t>10 – 100 (97)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9" w14:textId="77777777" w:rsidR="00045316" w:rsidRDefault="00FA021F">
            <w:r>
              <w:t>0.205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A" w14:textId="77777777" w:rsidR="00045316" w:rsidRDefault="00FA021F">
            <w:r>
              <w:t>8450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B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C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E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9F" w14:textId="77777777" w:rsidR="00045316" w:rsidRDefault="00FA021F">
            <w:r>
              <w:t>10 - 100 (44)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0" w14:textId="77777777" w:rsidR="00045316" w:rsidRDefault="00FA021F">
            <w:r>
              <w:t>0.007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1" w14:textId="77777777" w:rsidR="00045316" w:rsidRDefault="00FA021F">
            <w:r>
              <w:t>3234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2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3" w14:textId="77777777" w:rsidR="00045316" w:rsidRDefault="00045316">
            <w:pPr>
              <w:spacing w:line="240" w:lineRule="auto"/>
            </w:pPr>
          </w:p>
        </w:tc>
      </w:tr>
      <w:tr w:rsidR="00045316" w14:paraId="235F64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5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6" w14:textId="77777777" w:rsidR="00045316" w:rsidRDefault="00FA021F">
            <w:r>
              <w:t>10000 – 1000000 (178633)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7" w14:textId="77777777" w:rsidR="00045316" w:rsidRDefault="00FA021F">
            <w:r>
              <w:t>136.07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8" w14:textId="77777777" w:rsidR="00045316" w:rsidRDefault="00FA021F">
            <w:r>
              <w:t>866156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9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A" w14:textId="77777777" w:rsidR="00045316" w:rsidRDefault="00045316">
            <w:pPr>
              <w:spacing w:line="240" w:lineRule="auto"/>
            </w:pPr>
          </w:p>
        </w:tc>
      </w:tr>
      <w:tr w:rsidR="00045316" w14:paraId="235F6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C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D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E" w14:textId="77777777" w:rsidR="00045316" w:rsidRDefault="00FA021F">
            <w:r>
              <w:t>0.145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AF" w14:textId="77777777" w:rsidR="00045316" w:rsidRDefault="00FA021F">
            <w:r>
              <w:t>65288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0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1" w14:textId="77777777" w:rsidR="00045316" w:rsidRDefault="00045316">
            <w:pPr>
              <w:spacing w:line="240" w:lineRule="auto"/>
            </w:pPr>
          </w:p>
        </w:tc>
      </w:tr>
      <w:tr w:rsidR="00045316" w14:paraId="235F6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3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4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5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6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7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8" w14:textId="77777777" w:rsidR="00045316" w:rsidRDefault="00045316">
            <w:pPr>
              <w:spacing w:line="240" w:lineRule="auto"/>
            </w:pPr>
          </w:p>
        </w:tc>
      </w:tr>
      <w:tr w:rsidR="00045316" w14:paraId="235F6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A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B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C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D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E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BF" w14:textId="77777777" w:rsidR="00045316" w:rsidRDefault="00045316">
            <w:pPr>
              <w:spacing w:line="240" w:lineRule="auto"/>
            </w:pPr>
          </w:p>
        </w:tc>
      </w:tr>
      <w:tr w:rsidR="00045316" w14:paraId="235F6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1" w14:textId="77777777" w:rsidR="00045316" w:rsidRDefault="00FA021F">
            <w:proofErr w:type="spellStart"/>
            <w:r>
              <w:t>Iterative</w:t>
            </w:r>
            <w:proofErr w:type="spellEnd"/>
            <w:r>
              <w:t xml:space="preserve"> </w:t>
            </w:r>
            <w:proofErr w:type="spellStart"/>
            <w:r>
              <w:t>Deepening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  <w:p w14:paraId="235F64C2" w14:textId="77777777" w:rsidR="00045316" w:rsidRDefault="00FA021F">
            <w:r>
              <w:t xml:space="preserve"> 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3" w14:textId="77777777" w:rsidR="00045316" w:rsidRDefault="00FA021F">
            <w:r>
              <w:t>10 – 100 (81)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4" w14:textId="77777777" w:rsidR="00045316" w:rsidRDefault="00FA021F">
            <w:r>
              <w:t>0.232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5" w14:textId="77777777" w:rsidR="00045316" w:rsidRDefault="00FA021F">
            <w:r>
              <w:t>2612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6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7" w14:textId="77777777" w:rsidR="00045316" w:rsidRDefault="00FA021F">
            <w:pPr>
              <w:jc w:val="center"/>
            </w:pPr>
            <w:r>
              <w:t>Sí</w:t>
            </w:r>
          </w:p>
        </w:tc>
      </w:tr>
      <w:tr w:rsidR="00045316" w14:paraId="235F6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9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A" w14:textId="77777777" w:rsidR="00045316" w:rsidRDefault="00FA021F">
            <w:r>
              <w:t>10 - 100 (44)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B" w14:textId="77777777" w:rsidR="00045316" w:rsidRDefault="00FA021F">
            <w:r>
              <w:t>0.02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C" w14:textId="77777777" w:rsidR="00045316" w:rsidRDefault="00FA021F">
            <w:r>
              <w:t>2992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D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CE" w14:textId="77777777" w:rsidR="00045316" w:rsidRDefault="00045316">
            <w:pPr>
              <w:spacing w:line="240" w:lineRule="auto"/>
            </w:pPr>
          </w:p>
        </w:tc>
      </w:tr>
      <w:tr w:rsidR="00045316" w14:paraId="235F6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0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1" w14:textId="77777777" w:rsidR="00045316" w:rsidRDefault="00FA021F">
            <w:r>
              <w:t>10000 – 1000000 (178633)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2" w14:textId="77777777" w:rsidR="00045316" w:rsidRDefault="00FA021F">
            <w:r>
              <w:t>1637.666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3" w14:textId="77777777" w:rsidR="00045316" w:rsidRDefault="00FA021F">
            <w:r>
              <w:t>2031410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4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5" w14:textId="77777777" w:rsidR="00045316" w:rsidRDefault="00045316">
            <w:pPr>
              <w:spacing w:line="240" w:lineRule="auto"/>
            </w:pPr>
          </w:p>
        </w:tc>
      </w:tr>
      <w:tr w:rsidR="00045316" w14:paraId="235F6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7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8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9" w14:textId="77777777" w:rsidR="00045316" w:rsidRDefault="00FA021F">
            <w:r>
              <w:t>7.107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A" w14:textId="77777777" w:rsidR="00045316" w:rsidRDefault="00FA021F">
            <w:r>
              <w:t>351178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B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C" w14:textId="77777777" w:rsidR="00045316" w:rsidRDefault="00045316">
            <w:pPr>
              <w:spacing w:line="240" w:lineRule="auto"/>
            </w:pPr>
          </w:p>
        </w:tc>
      </w:tr>
      <w:tr w:rsidR="00045316" w14:paraId="235F6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E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DF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0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1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2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3" w14:textId="77777777" w:rsidR="00045316" w:rsidRDefault="00045316">
            <w:pPr>
              <w:spacing w:line="240" w:lineRule="auto"/>
            </w:pPr>
          </w:p>
        </w:tc>
      </w:tr>
      <w:tr w:rsidR="00045316" w14:paraId="235F6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5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6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7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8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9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A" w14:textId="77777777" w:rsidR="00045316" w:rsidRDefault="00045316">
            <w:pPr>
              <w:spacing w:line="240" w:lineRule="auto"/>
            </w:pPr>
          </w:p>
        </w:tc>
      </w:tr>
      <w:tr w:rsidR="00045316" w14:paraId="235F6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C" w14:textId="77777777" w:rsidR="00045316" w:rsidRDefault="00FA021F">
            <w:proofErr w:type="spellStart"/>
            <w:r>
              <w:t>Breadth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D" w14:textId="77777777" w:rsidR="00045316" w:rsidRDefault="00FA021F">
            <w:r>
              <w:t>10 – 100 (98)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E" w14:textId="77777777" w:rsidR="00045316" w:rsidRDefault="00FA021F">
            <w:r>
              <w:t>0.362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EF" w14:textId="77777777" w:rsidR="00045316" w:rsidRDefault="00FA021F">
            <w:r>
              <w:t>9874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0" w14:textId="77777777" w:rsidR="00045316" w:rsidRDefault="00FA021F">
            <w:pPr>
              <w:jc w:val="center"/>
            </w:pPr>
            <w:r>
              <w:t>Sí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1" w14:textId="77777777" w:rsidR="00045316" w:rsidRDefault="00FA021F">
            <w:pPr>
              <w:jc w:val="center"/>
            </w:pPr>
            <w:r>
              <w:t>Sí</w:t>
            </w:r>
          </w:p>
        </w:tc>
      </w:tr>
      <w:tr w:rsidR="00045316" w14:paraId="235F64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3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4" w14:textId="77777777" w:rsidR="00045316" w:rsidRDefault="00FA021F">
            <w:r>
              <w:t>10 - 100 (44)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5" w14:textId="77777777" w:rsidR="00045316" w:rsidRDefault="00FA021F">
            <w:r>
              <w:t>0.003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6" w14:textId="77777777" w:rsidR="00045316" w:rsidRDefault="00FA021F">
            <w:r>
              <w:t>3338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7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8" w14:textId="77777777" w:rsidR="00045316" w:rsidRDefault="00045316">
            <w:pPr>
              <w:spacing w:line="240" w:lineRule="auto"/>
            </w:pPr>
          </w:p>
        </w:tc>
      </w:tr>
      <w:tr w:rsidR="00045316" w14:paraId="235F6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A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B" w14:textId="77777777" w:rsidR="00045316" w:rsidRDefault="00FA021F">
            <w:r>
              <w:t>10000 – 1000000 (178633)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C" w14:textId="77777777" w:rsidR="00045316" w:rsidRDefault="00FA021F">
            <w:r>
              <w:t>133.307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D" w14:textId="77777777" w:rsidR="00045316" w:rsidRDefault="00FA021F">
            <w:r>
              <w:t>1572670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E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4FF" w14:textId="77777777" w:rsidR="00045316" w:rsidRDefault="00045316">
            <w:pPr>
              <w:spacing w:line="240" w:lineRule="auto"/>
            </w:pPr>
          </w:p>
        </w:tc>
      </w:tr>
      <w:tr w:rsidR="00045316" w14:paraId="235F6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1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2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3" w14:textId="77777777" w:rsidR="00045316" w:rsidRDefault="00FA021F">
            <w:r>
              <w:t xml:space="preserve"> 12.239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4" w14:textId="77777777" w:rsidR="00045316" w:rsidRDefault="00FA021F">
            <w:r>
              <w:t>595528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5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6" w14:textId="77777777" w:rsidR="00045316" w:rsidRDefault="00045316">
            <w:pPr>
              <w:spacing w:line="240" w:lineRule="auto"/>
            </w:pPr>
          </w:p>
        </w:tc>
      </w:tr>
      <w:tr w:rsidR="00045316" w14:paraId="235F6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8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9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A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B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C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D" w14:textId="77777777" w:rsidR="00045316" w:rsidRDefault="00045316">
            <w:pPr>
              <w:spacing w:line="240" w:lineRule="auto"/>
            </w:pPr>
          </w:p>
        </w:tc>
      </w:tr>
      <w:tr w:rsidR="00045316" w14:paraId="235F6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0F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0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1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2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3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4" w14:textId="77777777" w:rsidR="00045316" w:rsidRDefault="00045316">
            <w:pPr>
              <w:spacing w:line="240" w:lineRule="auto"/>
            </w:pPr>
          </w:p>
        </w:tc>
      </w:tr>
      <w:tr w:rsidR="00045316" w14:paraId="235F65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6" w14:textId="77777777" w:rsidR="00045316" w:rsidRDefault="00FA021F">
            <w:proofErr w:type="spellStart"/>
            <w:r>
              <w:t>Uniform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  <w:p w14:paraId="235F6517" w14:textId="77777777" w:rsidR="00045316" w:rsidRDefault="00FA021F">
            <w:r>
              <w:t xml:space="preserve"> </w:t>
            </w:r>
          </w:p>
          <w:p w14:paraId="235F6518" w14:textId="77777777" w:rsidR="00045316" w:rsidRDefault="00FA021F">
            <w:r>
              <w:t xml:space="preserve"> </w:t>
            </w:r>
          </w:p>
          <w:p w14:paraId="235F6519" w14:textId="77777777" w:rsidR="00045316" w:rsidRDefault="00FA021F">
            <w:r>
              <w:t xml:space="preserve"> </w:t>
            </w:r>
          </w:p>
          <w:p w14:paraId="235F651A" w14:textId="77777777" w:rsidR="00045316" w:rsidRDefault="00FA021F">
            <w:r>
              <w:t xml:space="preserve"> 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B" w14:textId="77777777" w:rsidR="00045316" w:rsidRDefault="00FA021F">
            <w:r>
              <w:t>10 – 100 (50)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C" w14:textId="77777777" w:rsidR="00045316" w:rsidRDefault="00FA021F">
            <w:r>
              <w:t>0.029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D" w14:textId="77777777" w:rsidR="00045316" w:rsidRDefault="00FA021F">
            <w:r>
              <w:t>4844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E" w14:textId="77777777" w:rsidR="00045316" w:rsidRDefault="00FA021F">
            <w:pPr>
              <w:jc w:val="center"/>
            </w:pPr>
            <w:r>
              <w:t>Sí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1F" w14:textId="77777777" w:rsidR="00045316" w:rsidRDefault="00FA021F">
            <w:pPr>
              <w:jc w:val="center"/>
            </w:pPr>
            <w:r>
              <w:t>Si</w:t>
            </w:r>
          </w:p>
        </w:tc>
      </w:tr>
      <w:tr w:rsidR="00045316" w14:paraId="235F6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1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2" w14:textId="77777777" w:rsidR="00045316" w:rsidRDefault="00FA021F">
            <w:r>
              <w:t>10 – 100 (90)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3" w14:textId="77777777" w:rsidR="00045316" w:rsidRDefault="00FA021F">
            <w:r>
              <w:t>0.025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4" w14:textId="77777777" w:rsidR="00045316" w:rsidRDefault="00FA021F">
            <w:r>
              <w:t>6714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5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6" w14:textId="77777777" w:rsidR="00045316" w:rsidRDefault="00045316">
            <w:pPr>
              <w:spacing w:line="240" w:lineRule="auto"/>
            </w:pPr>
          </w:p>
        </w:tc>
      </w:tr>
      <w:tr w:rsidR="00045316" w14:paraId="235F6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8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9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A" w14:textId="77777777" w:rsidR="00045316" w:rsidRDefault="00FA021F">
            <w:r>
              <w:t xml:space="preserve"> 3346.071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B" w14:textId="77777777" w:rsidR="00045316" w:rsidRDefault="00FA021F">
            <w:r>
              <w:t xml:space="preserve"> 731220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C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D" w14:textId="77777777" w:rsidR="00045316" w:rsidRDefault="00045316">
            <w:pPr>
              <w:spacing w:line="240" w:lineRule="auto"/>
            </w:pPr>
          </w:p>
        </w:tc>
      </w:tr>
      <w:tr w:rsidR="00045316" w14:paraId="235F6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2F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0" w14:textId="77777777" w:rsidR="00045316" w:rsidRDefault="00FA021F">
            <w:r>
              <w:t>10000 – 1000000 (27665)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1" w14:textId="77777777" w:rsidR="00045316" w:rsidRDefault="00FA021F">
            <w:r>
              <w:t>5008.341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2" w14:textId="77777777" w:rsidR="00045316" w:rsidRDefault="00FA021F">
            <w:r>
              <w:t>873008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3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4" w14:textId="77777777" w:rsidR="00045316" w:rsidRDefault="00045316">
            <w:pPr>
              <w:spacing w:line="240" w:lineRule="auto"/>
            </w:pPr>
          </w:p>
        </w:tc>
      </w:tr>
      <w:tr w:rsidR="00045316" w14:paraId="235F6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6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7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8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9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A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B" w14:textId="77777777" w:rsidR="00045316" w:rsidRDefault="00045316">
            <w:pPr>
              <w:spacing w:line="240" w:lineRule="auto"/>
            </w:pPr>
          </w:p>
        </w:tc>
      </w:tr>
      <w:tr w:rsidR="00045316" w14:paraId="235F6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D" w14:textId="77777777" w:rsidR="00045316" w:rsidRDefault="00045316">
            <w:pPr>
              <w:spacing w:line="240" w:lineRule="auto"/>
            </w:pP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E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3F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0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1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2" w14:textId="77777777" w:rsidR="00045316" w:rsidRDefault="00045316">
            <w:pPr>
              <w:spacing w:line="240" w:lineRule="auto"/>
            </w:pPr>
          </w:p>
        </w:tc>
      </w:tr>
      <w:tr w:rsidR="00045316" w14:paraId="235F6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4" w14:textId="77777777" w:rsidR="00045316" w:rsidRDefault="00FA021F">
            <w:proofErr w:type="spellStart"/>
            <w:r>
              <w:t>Bidirectional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5" w14:textId="77777777" w:rsidR="00045316" w:rsidRDefault="00FA021F">
            <w:r>
              <w:t>10 – 100 (40)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6" w14:textId="77777777" w:rsidR="00045316" w:rsidRDefault="00FA021F">
            <w:r>
              <w:t>0.005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7" w14:textId="77777777" w:rsidR="00045316" w:rsidRDefault="00FA021F">
            <w:r>
              <w:t>2294</w:t>
            </w:r>
          </w:p>
        </w:tc>
        <w:tc>
          <w:tcPr>
            <w:tcW w:w="153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8" w14:textId="77777777" w:rsidR="00045316" w:rsidRDefault="00FA021F">
            <w:pPr>
              <w:jc w:val="center"/>
            </w:pPr>
            <w:r>
              <w:t>Sí</w:t>
            </w:r>
          </w:p>
        </w:tc>
        <w:tc>
          <w:tcPr>
            <w:tcW w:w="168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9" w14:textId="77777777" w:rsidR="00045316" w:rsidRDefault="00FA021F">
            <w:pPr>
              <w:jc w:val="center"/>
            </w:pPr>
            <w:r>
              <w:t>Sí</w:t>
            </w:r>
          </w:p>
        </w:tc>
      </w:tr>
      <w:tr w:rsidR="00045316" w14:paraId="235F6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B" w14:textId="77777777" w:rsidR="00045316" w:rsidRDefault="00045316"/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C" w14:textId="77777777" w:rsidR="00045316" w:rsidRDefault="00FA021F">
            <w:r>
              <w:t>10 - 100 (89)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D" w14:textId="77777777" w:rsidR="00045316" w:rsidRDefault="00FA021F">
            <w:r>
              <w:t>0.015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E" w14:textId="77777777" w:rsidR="00045316" w:rsidRDefault="00FA021F">
            <w:r>
              <w:t>3480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4F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0" w14:textId="77777777" w:rsidR="00045316" w:rsidRDefault="00045316">
            <w:pPr>
              <w:spacing w:line="240" w:lineRule="auto"/>
            </w:pPr>
          </w:p>
        </w:tc>
      </w:tr>
      <w:tr w:rsidR="00045316" w14:paraId="235F65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2" w14:textId="77777777" w:rsidR="00045316" w:rsidRDefault="00045316"/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3" w14:textId="77777777" w:rsidR="00045316" w:rsidRDefault="00FA021F">
            <w:r>
              <w:t>10000 – 1000000 (12730)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4" w14:textId="77777777" w:rsidR="00045316" w:rsidRDefault="00FA021F">
            <w:r>
              <w:t>2.234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5" w14:textId="77777777" w:rsidR="00045316" w:rsidRDefault="00FA021F">
            <w:r>
              <w:t>146134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6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7" w14:textId="77777777" w:rsidR="00045316" w:rsidRDefault="00045316">
            <w:pPr>
              <w:spacing w:line="240" w:lineRule="auto"/>
            </w:pPr>
          </w:p>
        </w:tc>
      </w:tr>
      <w:tr w:rsidR="00045316" w14:paraId="235F6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9" w14:textId="77777777" w:rsidR="00045316" w:rsidRDefault="00045316"/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A" w14:textId="77777777" w:rsidR="00045316" w:rsidRDefault="00FA021F">
            <w:r>
              <w:t>10000 – 1000000 (11863)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B" w14:textId="77777777" w:rsidR="00045316" w:rsidRDefault="00FA021F">
            <w:r>
              <w:t>0.903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C" w14:textId="77777777" w:rsidR="00045316" w:rsidRDefault="00FA021F">
            <w:r>
              <w:t>127224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D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5E" w14:textId="77777777" w:rsidR="00045316" w:rsidRDefault="00045316">
            <w:pPr>
              <w:spacing w:line="240" w:lineRule="auto"/>
            </w:pPr>
          </w:p>
        </w:tc>
      </w:tr>
      <w:tr w:rsidR="00045316" w14:paraId="235F6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0" w14:textId="77777777" w:rsidR="00045316" w:rsidRDefault="00045316"/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1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2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3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4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5" w14:textId="77777777" w:rsidR="00045316" w:rsidRDefault="00045316">
            <w:pPr>
              <w:spacing w:line="240" w:lineRule="auto"/>
            </w:pPr>
          </w:p>
        </w:tc>
      </w:tr>
      <w:tr w:rsidR="00045316" w14:paraId="235F65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  <w:jc w:val="center"/>
        </w:trPr>
        <w:tc>
          <w:tcPr>
            <w:tcW w:w="1333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7" w14:textId="77777777" w:rsidR="00045316" w:rsidRDefault="00045316"/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8" w14:textId="77777777" w:rsidR="00045316" w:rsidRDefault="00FA021F">
            <w:r>
              <w:t>1000000 o más ()</w:t>
            </w:r>
          </w:p>
        </w:tc>
        <w:tc>
          <w:tcPr>
            <w:tcW w:w="1597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9" w14:textId="77777777" w:rsidR="00045316" w:rsidRDefault="00FA021F">
            <w:r>
              <w:t>--</w:t>
            </w:r>
          </w:p>
        </w:tc>
        <w:tc>
          <w:tcPr>
            <w:tcW w:w="1641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A" w14:textId="77777777" w:rsidR="00045316" w:rsidRDefault="00FA021F">
            <w:r>
              <w:t>--</w:t>
            </w:r>
          </w:p>
        </w:tc>
        <w:tc>
          <w:tcPr>
            <w:tcW w:w="153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B" w14:textId="77777777" w:rsidR="00045316" w:rsidRDefault="00045316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6C" w14:textId="77777777" w:rsidR="00045316" w:rsidRDefault="00045316">
            <w:pPr>
              <w:spacing w:line="240" w:lineRule="auto"/>
            </w:pPr>
          </w:p>
        </w:tc>
      </w:tr>
    </w:tbl>
    <w:p w14:paraId="235F656E" w14:textId="77777777" w:rsidR="00045316" w:rsidRDefault="00045316"/>
    <w:p w14:paraId="235F656F" w14:textId="77777777" w:rsidR="00045316" w:rsidRDefault="00045316"/>
    <w:p w14:paraId="235F6570" w14:textId="77777777" w:rsidR="00045316" w:rsidRDefault="00045316"/>
    <w:p w14:paraId="235F6571" w14:textId="77777777" w:rsidR="00045316" w:rsidRDefault="00045316"/>
    <w:p w14:paraId="235F6572" w14:textId="77777777" w:rsidR="00045316" w:rsidRDefault="00045316"/>
    <w:p w14:paraId="235F6573" w14:textId="77777777" w:rsidR="00045316" w:rsidRDefault="00045316"/>
    <w:p w14:paraId="235F6574" w14:textId="77777777" w:rsidR="00045316" w:rsidRDefault="00FA021F">
      <w:pPr>
        <w:rPr>
          <w:b/>
          <w:sz w:val="26"/>
          <w:szCs w:val="26"/>
        </w:rPr>
      </w:pPr>
      <w:r>
        <w:rPr>
          <w:b/>
          <w:sz w:val="26"/>
          <w:szCs w:val="26"/>
        </w:rPr>
        <w:t>Métodos con Información</w:t>
      </w:r>
    </w:p>
    <w:p w14:paraId="235F6575" w14:textId="77777777" w:rsidR="00045316" w:rsidRDefault="00045316">
      <w:pPr>
        <w:rPr>
          <w:b/>
          <w:sz w:val="28"/>
          <w:szCs w:val="28"/>
        </w:rPr>
      </w:pPr>
    </w:p>
    <w:tbl>
      <w:tblPr>
        <w:tblStyle w:val="a0"/>
        <w:tblW w:w="91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55"/>
        <w:gridCol w:w="1440"/>
        <w:gridCol w:w="1545"/>
        <w:gridCol w:w="1560"/>
        <w:gridCol w:w="1560"/>
        <w:gridCol w:w="1545"/>
      </w:tblGrid>
      <w:tr w:rsidR="00045316" w14:paraId="235F6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6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7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Cantidad de nodos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8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Complejidad temporal (segundos)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9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Complejidad especial (bytes)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A" w14:textId="77777777" w:rsidR="00045316" w:rsidRDefault="00FA021F">
            <w:pPr>
              <w:jc w:val="center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B" w14:textId="77777777" w:rsidR="00045316" w:rsidRDefault="00FA02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Optimalidad</w:t>
            </w:r>
            <w:proofErr w:type="spellEnd"/>
          </w:p>
        </w:tc>
      </w:tr>
      <w:tr w:rsidR="00045316" w14:paraId="235F6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7D" w14:textId="77777777" w:rsidR="00045316" w:rsidRDefault="00FA021F">
            <w:proofErr w:type="spellStart"/>
            <w:r>
              <w:t>Simulated</w:t>
            </w:r>
            <w:proofErr w:type="spellEnd"/>
            <w:r>
              <w:t xml:space="preserve"> </w:t>
            </w:r>
            <w:proofErr w:type="spellStart"/>
            <w:r>
              <w:t>Annealing</w:t>
            </w:r>
            <w:proofErr w:type="spellEnd"/>
          </w:p>
          <w:p w14:paraId="235F657E" w14:textId="77777777" w:rsidR="00045316" w:rsidRDefault="00FA021F">
            <w:r>
              <w:t xml:space="preserve"> </w:t>
            </w:r>
          </w:p>
          <w:p w14:paraId="235F657F" w14:textId="77777777" w:rsidR="00045316" w:rsidRDefault="00FA021F">
            <w: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0" w14:textId="77777777" w:rsidR="00045316" w:rsidRDefault="00FA021F">
            <w:r>
              <w:t>10-100 (18)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1" w14:textId="77777777" w:rsidR="00045316" w:rsidRDefault="00FA021F">
            <w:r>
              <w:t>0.018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2" w14:textId="77777777" w:rsidR="00045316" w:rsidRDefault="00FA021F">
            <w:r>
              <w:t>1962</w:t>
            </w:r>
          </w:p>
        </w:tc>
        <w:tc>
          <w:tcPr>
            <w:tcW w:w="156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3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54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4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6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7" w14:textId="77777777" w:rsidR="00045316" w:rsidRDefault="00FA021F">
            <w:r>
              <w:t>10-100</w:t>
            </w:r>
          </w:p>
          <w:p w14:paraId="235F6588" w14:textId="77777777" w:rsidR="00045316" w:rsidRDefault="00FA021F">
            <w:r>
              <w:t>(73)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9" w14:textId="77777777" w:rsidR="00045316" w:rsidRDefault="00FA021F">
            <w:r>
              <w:t>0.077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A" w14:textId="77777777" w:rsidR="00045316" w:rsidRDefault="00FA021F">
            <w:r>
              <w:t>5552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B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C" w14:textId="77777777" w:rsidR="00045316" w:rsidRDefault="00045316">
            <w:pPr>
              <w:spacing w:line="240" w:lineRule="auto"/>
            </w:pPr>
          </w:p>
        </w:tc>
      </w:tr>
      <w:tr w:rsidR="00045316" w14:paraId="235F6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E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8F" w14:textId="77777777" w:rsidR="00045316" w:rsidRDefault="00FA021F">
            <w:r>
              <w:t>10000-1000000</w:t>
            </w:r>
          </w:p>
          <w:p w14:paraId="235F6590" w14:textId="77777777" w:rsidR="00045316" w:rsidRDefault="00FA021F">
            <w:r>
              <w:t>(12643)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1" w14:textId="77777777" w:rsidR="00045316" w:rsidRDefault="00FA021F">
            <w:r>
              <w:t xml:space="preserve">112.847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2" w14:textId="77777777" w:rsidR="00045316" w:rsidRDefault="00FA021F">
            <w:r>
              <w:t xml:space="preserve"> 2669948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3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4" w14:textId="77777777" w:rsidR="00045316" w:rsidRDefault="00045316">
            <w:pPr>
              <w:spacing w:line="240" w:lineRule="auto"/>
            </w:pPr>
          </w:p>
        </w:tc>
      </w:tr>
      <w:tr w:rsidR="00045316" w14:paraId="235F6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6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7" w14:textId="77777777" w:rsidR="00045316" w:rsidRDefault="00FA021F">
            <w:r>
              <w:t>10000-1000000</w:t>
            </w:r>
          </w:p>
          <w:p w14:paraId="235F6598" w14:textId="77777777" w:rsidR="00045316" w:rsidRDefault="00FA021F">
            <w:r>
              <w:t>(18147)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9" w14:textId="77777777" w:rsidR="00045316" w:rsidRDefault="00FA021F">
            <w:r>
              <w:t xml:space="preserve">191.261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A" w14:textId="77777777" w:rsidR="00045316" w:rsidRDefault="00FA021F">
            <w:r>
              <w:t>3448370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B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C" w14:textId="77777777" w:rsidR="00045316" w:rsidRDefault="00045316">
            <w:pPr>
              <w:spacing w:line="240" w:lineRule="auto"/>
            </w:pPr>
          </w:p>
        </w:tc>
      </w:tr>
      <w:tr w:rsidR="00045316" w14:paraId="235F6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E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9F" w14:textId="77777777" w:rsidR="00045316" w:rsidRDefault="00FA021F">
            <w:r>
              <w:t>1000000 o más (2054842)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0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1" w14:textId="77777777" w:rsidR="00045316" w:rsidRDefault="00FA021F">
            <w:r>
              <w:t xml:space="preserve">-- 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2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3" w14:textId="77777777" w:rsidR="00045316" w:rsidRDefault="00045316">
            <w:pPr>
              <w:spacing w:line="240" w:lineRule="auto"/>
            </w:pPr>
          </w:p>
        </w:tc>
      </w:tr>
      <w:tr w:rsidR="00045316" w14:paraId="235F6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5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6" w14:textId="77777777" w:rsidR="00045316" w:rsidRDefault="00FA021F">
            <w:r>
              <w:t xml:space="preserve">1000000 o más </w:t>
            </w:r>
          </w:p>
          <w:p w14:paraId="235F65A7" w14:textId="77777777" w:rsidR="00045316" w:rsidRDefault="00FA021F">
            <w:r>
              <w:t>(1401204)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8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9" w14:textId="77777777" w:rsidR="00045316" w:rsidRDefault="00FA021F">
            <w:r>
              <w:t xml:space="preserve">-- 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A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B" w14:textId="77777777" w:rsidR="00045316" w:rsidRDefault="00045316">
            <w:pPr>
              <w:spacing w:line="240" w:lineRule="auto"/>
            </w:pPr>
          </w:p>
        </w:tc>
      </w:tr>
      <w:tr w:rsidR="00045316" w14:paraId="235F6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AD" w14:textId="77777777" w:rsidR="00045316" w:rsidRDefault="00FA021F">
            <w:proofErr w:type="spellStart"/>
            <w:r>
              <w:t>Tabu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  <w:p w14:paraId="235F65AE" w14:textId="77777777" w:rsidR="00045316" w:rsidRDefault="00FA021F">
            <w:r>
              <w:t xml:space="preserve"> </w:t>
            </w:r>
          </w:p>
          <w:p w14:paraId="235F65AF" w14:textId="77777777" w:rsidR="00045316" w:rsidRDefault="00FA021F">
            <w:r>
              <w:t xml:space="preserve"> </w:t>
            </w:r>
          </w:p>
          <w:p w14:paraId="235F65B0" w14:textId="77777777" w:rsidR="00045316" w:rsidRDefault="00FA021F">
            <w: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1" w14:textId="77777777" w:rsidR="00045316" w:rsidRDefault="00FA021F">
            <w:r>
              <w:t>10-100</w:t>
            </w:r>
          </w:p>
          <w:p w14:paraId="235F65B2" w14:textId="77777777" w:rsidR="00045316" w:rsidRDefault="00FA021F">
            <w:r>
              <w:t>(64)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3" w14:textId="77777777" w:rsidR="00045316" w:rsidRDefault="00FA021F">
            <w:r>
              <w:t>0.014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4" w14:textId="77777777" w:rsidR="00045316" w:rsidRDefault="00FA021F">
            <w:r>
              <w:t>2572</w:t>
            </w:r>
          </w:p>
        </w:tc>
        <w:tc>
          <w:tcPr>
            <w:tcW w:w="156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5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54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6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8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9" w14:textId="77777777" w:rsidR="00045316" w:rsidRDefault="00FA021F">
            <w:r>
              <w:t>10-100</w:t>
            </w:r>
          </w:p>
          <w:p w14:paraId="235F65BA" w14:textId="77777777" w:rsidR="00045316" w:rsidRDefault="00FA021F">
            <w:r>
              <w:t>(88)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B" w14:textId="77777777" w:rsidR="00045316" w:rsidRDefault="00FA021F">
            <w:r>
              <w:t>0.02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C" w14:textId="77777777" w:rsidR="00045316" w:rsidRDefault="00FA021F">
            <w:r>
              <w:t>4696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D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BE" w14:textId="77777777" w:rsidR="00045316" w:rsidRDefault="00045316">
            <w:pPr>
              <w:spacing w:line="240" w:lineRule="auto"/>
            </w:pPr>
          </w:p>
        </w:tc>
      </w:tr>
      <w:tr w:rsidR="00045316" w14:paraId="235F6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0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1" w14:textId="77777777" w:rsidR="00045316" w:rsidRDefault="00FA021F">
            <w:r>
              <w:t>10000-1000000</w:t>
            </w:r>
          </w:p>
          <w:p w14:paraId="235F65C2" w14:textId="77777777" w:rsidR="00045316" w:rsidRDefault="00FA021F">
            <w:r>
              <w:t>(12584)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3" w14:textId="77777777" w:rsidR="00045316" w:rsidRDefault="00FA021F">
            <w:r>
              <w:t xml:space="preserve"> 37.518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4" w14:textId="77777777" w:rsidR="00045316" w:rsidRDefault="00FA021F">
            <w:r>
              <w:t xml:space="preserve"> 1597132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5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6" w14:textId="77777777" w:rsidR="00045316" w:rsidRDefault="00045316">
            <w:pPr>
              <w:spacing w:line="240" w:lineRule="auto"/>
            </w:pPr>
          </w:p>
        </w:tc>
      </w:tr>
      <w:tr w:rsidR="00045316" w14:paraId="235F65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8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9" w14:textId="77777777" w:rsidR="00045316" w:rsidRDefault="00FA021F">
            <w:r>
              <w:t>10000-1000000</w:t>
            </w:r>
          </w:p>
          <w:p w14:paraId="235F65CA" w14:textId="77777777" w:rsidR="00045316" w:rsidRDefault="00FA021F">
            <w:r>
              <w:t>(14572)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B" w14:textId="77777777" w:rsidR="00045316" w:rsidRDefault="00FA021F">
            <w:r>
              <w:t xml:space="preserve"> 24.018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C" w14:textId="77777777" w:rsidR="00045316" w:rsidRDefault="00FA021F">
            <w:r>
              <w:t xml:space="preserve"> 1146994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D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CE" w14:textId="77777777" w:rsidR="00045316" w:rsidRDefault="00045316">
            <w:pPr>
              <w:spacing w:line="240" w:lineRule="auto"/>
            </w:pPr>
          </w:p>
        </w:tc>
      </w:tr>
      <w:tr w:rsidR="00045316" w14:paraId="235F65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0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1" w14:textId="77777777" w:rsidR="00045316" w:rsidRDefault="00FA021F">
            <w:r>
              <w:t>1000000 o más</w:t>
            </w:r>
          </w:p>
          <w:p w14:paraId="235F65D2" w14:textId="77777777" w:rsidR="00045316" w:rsidRDefault="00FA021F">
            <w:r>
              <w:t>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3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4" w14:textId="77777777" w:rsidR="00045316" w:rsidRDefault="00FA021F">
            <w:r>
              <w:t xml:space="preserve">-- 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5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6" w14:textId="77777777" w:rsidR="00045316" w:rsidRDefault="00045316">
            <w:pPr>
              <w:spacing w:line="240" w:lineRule="auto"/>
            </w:pPr>
          </w:p>
        </w:tc>
      </w:tr>
      <w:tr w:rsidR="00045316" w14:paraId="235F6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8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9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A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B" w14:textId="77777777" w:rsidR="00045316" w:rsidRDefault="00FA021F">
            <w:r>
              <w:t xml:space="preserve">-- 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C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D" w14:textId="77777777" w:rsidR="00045316" w:rsidRDefault="00045316">
            <w:pPr>
              <w:spacing w:line="240" w:lineRule="auto"/>
            </w:pPr>
          </w:p>
        </w:tc>
      </w:tr>
      <w:tr w:rsidR="00045316" w14:paraId="235F6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DF" w14:textId="77777777" w:rsidR="00045316" w:rsidRDefault="00FA021F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0" w14:textId="77777777" w:rsidR="00045316" w:rsidRDefault="00FA021F">
            <w:r>
              <w:t>10 – 100 (98)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1" w14:textId="77777777" w:rsidR="00045316" w:rsidRDefault="00FA021F">
            <w:r>
              <w:t>0.009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2" w14:textId="77777777" w:rsidR="00045316" w:rsidRDefault="00FA021F">
            <w:r>
              <w:t>4652</w:t>
            </w:r>
          </w:p>
        </w:tc>
        <w:tc>
          <w:tcPr>
            <w:tcW w:w="156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3" w14:textId="77777777" w:rsidR="00045316" w:rsidRDefault="00FA021F">
            <w:pPr>
              <w:jc w:val="center"/>
            </w:pPr>
            <w:r>
              <w:t>Si</w:t>
            </w:r>
          </w:p>
        </w:tc>
        <w:tc>
          <w:tcPr>
            <w:tcW w:w="154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4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6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7" w14:textId="77777777" w:rsidR="00045316" w:rsidRDefault="00FA021F">
            <w:r>
              <w:t>10 - 100 (82)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8" w14:textId="77777777" w:rsidR="00045316" w:rsidRDefault="00FA021F">
            <w:r>
              <w:t>0.006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9" w14:textId="77777777" w:rsidR="00045316" w:rsidRDefault="00FA021F">
            <w:r>
              <w:t>3450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A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B" w14:textId="77777777" w:rsidR="00045316" w:rsidRDefault="00045316">
            <w:pPr>
              <w:spacing w:line="240" w:lineRule="auto"/>
            </w:pPr>
          </w:p>
        </w:tc>
      </w:tr>
      <w:tr w:rsidR="00045316" w14:paraId="235F6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D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E" w14:textId="77777777" w:rsidR="00045316" w:rsidRDefault="00FA021F">
            <w:r>
              <w:t>10000 – 1000000 (10500)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EF" w14:textId="77777777" w:rsidR="00045316" w:rsidRDefault="00FA021F">
            <w:r>
              <w:t>131.595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0" w14:textId="77777777" w:rsidR="00045316" w:rsidRDefault="00FA021F">
            <w:r>
              <w:t>890884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1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2" w14:textId="77777777" w:rsidR="00045316" w:rsidRDefault="00045316">
            <w:pPr>
              <w:spacing w:line="240" w:lineRule="auto"/>
            </w:pPr>
          </w:p>
        </w:tc>
      </w:tr>
      <w:tr w:rsidR="00045316" w14:paraId="235F6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4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5" w14:textId="77777777" w:rsidR="00045316" w:rsidRDefault="00FA021F">
            <w:r>
              <w:t>10000 – 1000000 (12100)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6" w14:textId="77777777" w:rsidR="00045316" w:rsidRDefault="00FA021F">
            <w:r>
              <w:t>70.577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7" w14:textId="77777777" w:rsidR="00045316" w:rsidRDefault="00FA021F">
            <w:r>
              <w:t>798626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8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9" w14:textId="77777777" w:rsidR="00045316" w:rsidRDefault="00045316">
            <w:pPr>
              <w:spacing w:line="240" w:lineRule="auto"/>
            </w:pPr>
          </w:p>
        </w:tc>
      </w:tr>
      <w:tr w:rsidR="00045316" w14:paraId="235F6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B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C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D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E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5FF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0" w14:textId="77777777" w:rsidR="00045316" w:rsidRDefault="00045316">
            <w:pPr>
              <w:spacing w:line="240" w:lineRule="auto"/>
            </w:pPr>
          </w:p>
        </w:tc>
      </w:tr>
      <w:tr w:rsidR="00045316" w14:paraId="235F6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2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3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4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5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6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7" w14:textId="77777777" w:rsidR="00045316" w:rsidRDefault="00045316">
            <w:pPr>
              <w:spacing w:line="240" w:lineRule="auto"/>
            </w:pPr>
          </w:p>
        </w:tc>
      </w:tr>
      <w:tr w:rsidR="00045316" w14:paraId="235F6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9" w14:textId="77777777" w:rsidR="00045316" w:rsidRDefault="00FA021F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A" w14:textId="77777777" w:rsidR="00045316" w:rsidRDefault="00FA021F">
            <w:r>
              <w:t>10 – 100 (64)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B" w14:textId="77777777" w:rsidR="00045316" w:rsidRDefault="00FA021F">
            <w:r>
              <w:t>0.009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C" w14:textId="77777777" w:rsidR="00045316" w:rsidRDefault="00FA021F">
            <w:r>
              <w:t>3384</w:t>
            </w:r>
          </w:p>
        </w:tc>
        <w:tc>
          <w:tcPr>
            <w:tcW w:w="156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D" w14:textId="77777777" w:rsidR="00045316" w:rsidRDefault="00FA021F">
            <w:pPr>
              <w:jc w:val="center"/>
            </w:pPr>
            <w:r>
              <w:t>Si</w:t>
            </w:r>
          </w:p>
        </w:tc>
        <w:tc>
          <w:tcPr>
            <w:tcW w:w="154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0E" w14:textId="77777777" w:rsidR="00045316" w:rsidRDefault="00FA021F">
            <w:pPr>
              <w:jc w:val="center"/>
            </w:pPr>
            <w:r>
              <w:t>Si</w:t>
            </w:r>
          </w:p>
        </w:tc>
      </w:tr>
      <w:tr w:rsidR="00045316" w14:paraId="235F6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0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1" w14:textId="77777777" w:rsidR="00045316" w:rsidRDefault="00FA021F">
            <w:r>
              <w:t>10 - 100 (98)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2" w14:textId="77777777" w:rsidR="00045316" w:rsidRDefault="00FA021F">
            <w:r>
              <w:t>0.01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3" w14:textId="77777777" w:rsidR="00045316" w:rsidRDefault="00FA021F">
            <w:r>
              <w:t>4708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4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5" w14:textId="77777777" w:rsidR="00045316" w:rsidRDefault="00045316">
            <w:pPr>
              <w:spacing w:line="240" w:lineRule="auto"/>
            </w:pPr>
          </w:p>
        </w:tc>
      </w:tr>
      <w:tr w:rsidR="00045316" w14:paraId="235F6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7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8" w14:textId="77777777" w:rsidR="00045316" w:rsidRDefault="00FA021F">
            <w:r>
              <w:t>10000 – 1000000 (10500)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9" w14:textId="77777777" w:rsidR="00045316" w:rsidRDefault="00FA021F">
            <w:r>
              <w:t>134.595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A" w14:textId="77777777" w:rsidR="00045316" w:rsidRDefault="00FA021F">
            <w:r>
              <w:t>932770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B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C" w14:textId="77777777" w:rsidR="00045316" w:rsidRDefault="00045316">
            <w:pPr>
              <w:spacing w:line="240" w:lineRule="auto"/>
            </w:pPr>
          </w:p>
        </w:tc>
      </w:tr>
      <w:tr w:rsidR="00045316" w14:paraId="235F6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E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1F" w14:textId="77777777" w:rsidR="00045316" w:rsidRDefault="00FA021F">
            <w:r>
              <w:t>10000 – 1000000 (12100)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0" w14:textId="77777777" w:rsidR="00045316" w:rsidRDefault="00FA021F">
            <w:r>
              <w:t>51.691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1" w14:textId="77777777" w:rsidR="00045316" w:rsidRDefault="00FA021F">
            <w:r>
              <w:t xml:space="preserve"> 702460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2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3" w14:textId="77777777" w:rsidR="00045316" w:rsidRDefault="00045316">
            <w:pPr>
              <w:spacing w:line="240" w:lineRule="auto"/>
            </w:pPr>
          </w:p>
        </w:tc>
      </w:tr>
      <w:tr w:rsidR="00045316" w14:paraId="235F6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5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6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7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8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9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A" w14:textId="77777777" w:rsidR="00045316" w:rsidRDefault="00045316">
            <w:pPr>
              <w:spacing w:line="240" w:lineRule="auto"/>
            </w:pPr>
          </w:p>
        </w:tc>
      </w:tr>
      <w:tr w:rsidR="00045316" w14:paraId="235F6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C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D" w14:textId="77777777" w:rsidR="00045316" w:rsidRDefault="00FA021F">
            <w:r>
              <w:t>1000000 o más ()</w:t>
            </w:r>
          </w:p>
          <w:p w14:paraId="235F662E" w14:textId="77777777" w:rsidR="00045316" w:rsidRDefault="00045316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2F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0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1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2" w14:textId="77777777" w:rsidR="00045316" w:rsidRDefault="00045316">
            <w:pPr>
              <w:spacing w:line="240" w:lineRule="auto"/>
            </w:pPr>
          </w:p>
        </w:tc>
      </w:tr>
      <w:tr w:rsidR="00045316" w14:paraId="235F6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4" w14:textId="77777777" w:rsidR="00045316" w:rsidRDefault="00FA021F">
            <w:r>
              <w:t xml:space="preserve">Hill </w:t>
            </w:r>
            <w:proofErr w:type="spellStart"/>
            <w:r>
              <w:t>Climbing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5" w14:textId="77777777" w:rsidR="00045316" w:rsidRDefault="00FA021F">
            <w:r>
              <w:t>10 – 100 (60)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6" w14:textId="77777777" w:rsidR="00045316" w:rsidRDefault="00FA021F">
            <w:r>
              <w:t>0.022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7" w14:textId="77777777" w:rsidR="00045316" w:rsidRDefault="00FA021F">
            <w:r>
              <w:t>3152</w:t>
            </w:r>
          </w:p>
        </w:tc>
        <w:tc>
          <w:tcPr>
            <w:tcW w:w="156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8" w14:textId="77777777" w:rsidR="00045316" w:rsidRDefault="00FA021F">
            <w:pPr>
              <w:jc w:val="center"/>
            </w:pPr>
            <w:r>
              <w:t>No</w:t>
            </w:r>
          </w:p>
        </w:tc>
        <w:tc>
          <w:tcPr>
            <w:tcW w:w="154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9" w14:textId="77777777" w:rsidR="00045316" w:rsidRDefault="00FA021F">
            <w:pPr>
              <w:jc w:val="center"/>
            </w:pPr>
            <w:r>
              <w:t>No</w:t>
            </w:r>
          </w:p>
        </w:tc>
      </w:tr>
      <w:tr w:rsidR="00045316" w14:paraId="235F6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B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C" w14:textId="77777777" w:rsidR="00045316" w:rsidRDefault="00FA021F">
            <w:r>
              <w:t>10 - 100 (57)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D" w14:textId="77777777" w:rsidR="00045316" w:rsidRDefault="00FA021F">
            <w:r>
              <w:t>0.006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E" w14:textId="77777777" w:rsidR="00045316" w:rsidRDefault="00FA021F">
            <w:r>
              <w:t>1484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3F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0" w14:textId="77777777" w:rsidR="00045316" w:rsidRDefault="00045316">
            <w:pPr>
              <w:spacing w:line="240" w:lineRule="auto"/>
            </w:pPr>
          </w:p>
        </w:tc>
      </w:tr>
      <w:tr w:rsidR="00045316" w14:paraId="235F6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2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3" w14:textId="77777777" w:rsidR="00045316" w:rsidRDefault="00FA021F">
            <w:r>
              <w:t>10000 – 1000000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4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5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6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7" w14:textId="77777777" w:rsidR="00045316" w:rsidRDefault="00045316">
            <w:pPr>
              <w:spacing w:line="240" w:lineRule="auto"/>
            </w:pPr>
          </w:p>
        </w:tc>
      </w:tr>
      <w:tr w:rsidR="00045316" w14:paraId="235F6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9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A" w14:textId="77777777" w:rsidR="00045316" w:rsidRDefault="00FA021F">
            <w:r>
              <w:t>10000 – 1000000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B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C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D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4E" w14:textId="77777777" w:rsidR="00045316" w:rsidRDefault="00045316">
            <w:pPr>
              <w:spacing w:line="240" w:lineRule="auto"/>
            </w:pPr>
          </w:p>
        </w:tc>
      </w:tr>
      <w:tr w:rsidR="00045316" w14:paraId="235F6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0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1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2" w14:textId="77777777" w:rsidR="00045316" w:rsidRDefault="00FA021F">
            <w:r>
              <w:t xml:space="preserve"> 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3" w14:textId="77777777" w:rsidR="00045316" w:rsidRDefault="00FA021F">
            <w:r>
              <w:t xml:space="preserve"> 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4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5" w14:textId="77777777" w:rsidR="00045316" w:rsidRDefault="00045316">
            <w:pPr>
              <w:spacing w:line="240" w:lineRule="auto"/>
            </w:pPr>
          </w:p>
        </w:tc>
      </w:tr>
      <w:tr w:rsidR="00045316" w14:paraId="235F6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7" w14:textId="77777777" w:rsidR="00045316" w:rsidRDefault="00045316"/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8" w14:textId="77777777" w:rsidR="00045316" w:rsidRDefault="00FA021F">
            <w:r>
              <w:t>1000000 o más ()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9" w14:textId="77777777" w:rsidR="00045316" w:rsidRDefault="00FA021F">
            <w:r>
              <w:t>--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A" w14:textId="77777777" w:rsidR="00045316" w:rsidRDefault="00FA021F">
            <w:r>
              <w:t>--</w:t>
            </w: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B" w14:textId="77777777" w:rsidR="00045316" w:rsidRDefault="00045316">
            <w:pPr>
              <w:spacing w:line="240" w:lineRule="auto"/>
            </w:pPr>
          </w:p>
        </w:tc>
        <w:tc>
          <w:tcPr>
            <w:tcW w:w="15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665C" w14:textId="77777777" w:rsidR="00045316" w:rsidRDefault="00045316">
            <w:pPr>
              <w:spacing w:line="240" w:lineRule="auto"/>
            </w:pPr>
          </w:p>
        </w:tc>
      </w:tr>
    </w:tbl>
    <w:p w14:paraId="235F665E" w14:textId="77777777" w:rsidR="00045316" w:rsidRDefault="00045316"/>
    <w:p w14:paraId="235F665F" w14:textId="77777777" w:rsidR="00045316" w:rsidRDefault="00045316"/>
    <w:p w14:paraId="13CB95FF" w14:textId="51CA14C0" w:rsidR="00643955" w:rsidRDefault="00643955"/>
    <w:p w14:paraId="18C82898" w14:textId="77777777" w:rsidR="00643955" w:rsidRDefault="00643955"/>
    <w:p w14:paraId="4A00E005" w14:textId="77777777" w:rsidR="00643955" w:rsidRDefault="00643955"/>
    <w:p w14:paraId="6573EE70" w14:textId="77777777" w:rsidR="00643955" w:rsidRDefault="00643955"/>
    <w:p w14:paraId="235F6660" w14:textId="77777777" w:rsidR="00045316" w:rsidRDefault="00045316"/>
    <w:p w14:paraId="235F6661" w14:textId="77777777" w:rsidR="00045316" w:rsidRDefault="00FA021F">
      <w:pPr>
        <w:spacing w:line="360" w:lineRule="auto"/>
        <w:jc w:val="both"/>
        <w:rPr>
          <w:b/>
        </w:rPr>
      </w:pPr>
      <w:r>
        <w:rPr>
          <w:b/>
        </w:rPr>
        <w:t>Métodos sin información</w:t>
      </w:r>
    </w:p>
    <w:p w14:paraId="235F6662" w14:textId="77777777" w:rsidR="00045316" w:rsidRDefault="00045316">
      <w:pPr>
        <w:spacing w:line="360" w:lineRule="auto"/>
        <w:jc w:val="both"/>
      </w:pPr>
    </w:p>
    <w:p w14:paraId="235F6663" w14:textId="77777777" w:rsidR="00045316" w:rsidRDefault="00FA021F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10 – 100 nodos</w:t>
      </w:r>
    </w:p>
    <w:p w14:paraId="235F6664" w14:textId="77777777" w:rsidR="00045316" w:rsidRDefault="00FA021F">
      <w:pPr>
        <w:numPr>
          <w:ilvl w:val="1"/>
          <w:numId w:val="2"/>
        </w:numPr>
        <w:spacing w:line="360" w:lineRule="auto"/>
        <w:ind w:hanging="360"/>
        <w:contextualSpacing/>
        <w:jc w:val="both"/>
      </w:pPr>
      <w:r>
        <w:t xml:space="preserve">En esta categoría, basados en los datos que nos generaron los algoritmos, podemos observar que el método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el más eficiente con respecto al tiempo, ya que en los casos de prueba fue el que duró menos, pero lo que es referente a la mem</w:t>
      </w:r>
      <w:r>
        <w:t xml:space="preserve">oria, se observa que el mejor algoritmo fue el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Deepening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235F6665" w14:textId="77777777" w:rsidR="00045316" w:rsidRDefault="00FA021F">
      <w:pPr>
        <w:numPr>
          <w:ilvl w:val="1"/>
          <w:numId w:val="2"/>
        </w:numPr>
        <w:spacing w:line="360" w:lineRule="auto"/>
        <w:ind w:hanging="360"/>
        <w:contextualSpacing/>
        <w:jc w:val="both"/>
      </w:pPr>
      <w:r>
        <w:t xml:space="preserve">En el caso del tiempo el algoritmo de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aumenta la rapidez de búsqueda al realizar dos búsquedas simultáneas, una desde el nodo inicio dado hasta el destino y otr</w:t>
      </w:r>
      <w:r>
        <w:t>a desde el destino al nodo inicio. De esta manera se reduce el tiempo de búsqueda ya que se acaba cuando ambos agentes se encuentran a mitad del camino.</w:t>
      </w:r>
    </w:p>
    <w:p w14:paraId="235F6666" w14:textId="77777777" w:rsidR="00045316" w:rsidRDefault="00045316">
      <w:pPr>
        <w:spacing w:line="360" w:lineRule="auto"/>
        <w:jc w:val="both"/>
      </w:pPr>
    </w:p>
    <w:p w14:paraId="235F6667" w14:textId="77777777" w:rsidR="00045316" w:rsidRDefault="00045316">
      <w:pPr>
        <w:spacing w:line="360" w:lineRule="auto"/>
        <w:jc w:val="both"/>
      </w:pPr>
    </w:p>
    <w:p w14:paraId="235F6668" w14:textId="77777777" w:rsidR="00045316" w:rsidRDefault="00045316">
      <w:pPr>
        <w:spacing w:line="360" w:lineRule="auto"/>
        <w:jc w:val="both"/>
      </w:pPr>
    </w:p>
    <w:p w14:paraId="3880DFBB" w14:textId="3F9ECEC7" w:rsidR="00643955" w:rsidRDefault="00643955">
      <w:pPr>
        <w:spacing w:line="360" w:lineRule="auto"/>
        <w:jc w:val="both"/>
      </w:pPr>
    </w:p>
    <w:p w14:paraId="235F6669" w14:textId="7A9B9706" w:rsidR="00045316" w:rsidRDefault="00045316" w:rsidP="00643955">
      <w:pPr>
        <w:spacing w:line="360" w:lineRule="auto"/>
        <w:jc w:val="both"/>
      </w:pPr>
    </w:p>
    <w:p w14:paraId="235F666A" w14:textId="77777777" w:rsidR="00045316" w:rsidRDefault="00FA021F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10000 – 1000000 nodos</w:t>
      </w:r>
    </w:p>
    <w:p w14:paraId="235F666B" w14:textId="77777777" w:rsidR="00045316" w:rsidRDefault="00FA021F">
      <w:pPr>
        <w:numPr>
          <w:ilvl w:val="1"/>
          <w:numId w:val="2"/>
        </w:numPr>
        <w:spacing w:line="360" w:lineRule="auto"/>
        <w:ind w:hanging="360"/>
        <w:contextualSpacing/>
        <w:jc w:val="both"/>
      </w:pPr>
      <w:r>
        <w:t>En esta categoría, basados en los datos que nos generaron los algoritmos, pod</w:t>
      </w:r>
      <w:r>
        <w:t xml:space="preserve">emos observar que el método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el más eficiente con respecto al tiempo, ya que en los casos de prueba fue el que duró relativamente menos, pero lo que es referente a la memoria, se observa que el mejor algoritmo fue el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</w:t>
      </w:r>
      <w:r>
        <w:t>ch</w:t>
      </w:r>
      <w:proofErr w:type="spellEnd"/>
      <w:r>
        <w:t>, el cual consumió mucho menos.</w:t>
      </w:r>
    </w:p>
    <w:p w14:paraId="235F666C" w14:textId="77777777" w:rsidR="00045316" w:rsidRDefault="00FA021F">
      <w:pPr>
        <w:numPr>
          <w:ilvl w:val="1"/>
          <w:numId w:val="2"/>
        </w:numPr>
        <w:spacing w:line="360" w:lineRule="auto"/>
        <w:ind w:hanging="360"/>
        <w:contextualSpacing/>
        <w:jc w:val="both"/>
      </w:pPr>
      <w:r>
        <w:t xml:space="preserve">En el caso del tiempo el algoritmo de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aumenta la rapidez de búsqueda al realizar dos búsquedas simultáneas, una desde el nodo inicio dado hasta el destino y otra desde el destino al nodo inicio. De est</w:t>
      </w:r>
      <w:r>
        <w:t>a manera se reduce el tiempo de búsqueda ya que se acaba cuando ambos agentes se encuentran a mitad del camino.</w:t>
      </w:r>
    </w:p>
    <w:p w14:paraId="235F666D" w14:textId="77777777" w:rsidR="00045316" w:rsidRDefault="00045316">
      <w:pPr>
        <w:spacing w:line="360" w:lineRule="auto"/>
        <w:ind w:left="720"/>
        <w:jc w:val="both"/>
      </w:pPr>
    </w:p>
    <w:p w14:paraId="235F666E" w14:textId="77777777" w:rsidR="00045316" w:rsidRDefault="00045316">
      <w:pPr>
        <w:spacing w:line="360" w:lineRule="auto"/>
        <w:jc w:val="both"/>
      </w:pPr>
    </w:p>
    <w:p w14:paraId="235F666F" w14:textId="77777777" w:rsidR="00045316" w:rsidRDefault="00045316">
      <w:pPr>
        <w:spacing w:line="360" w:lineRule="auto"/>
        <w:jc w:val="both"/>
      </w:pPr>
    </w:p>
    <w:p w14:paraId="235F6670" w14:textId="77777777" w:rsidR="00045316" w:rsidRDefault="00FA021F">
      <w:pPr>
        <w:spacing w:line="360" w:lineRule="auto"/>
        <w:jc w:val="both"/>
        <w:rPr>
          <w:b/>
        </w:rPr>
      </w:pPr>
      <w:r>
        <w:rPr>
          <w:b/>
        </w:rPr>
        <w:t>Métodos con información</w:t>
      </w:r>
    </w:p>
    <w:p w14:paraId="235F6671" w14:textId="77777777" w:rsidR="00045316" w:rsidRDefault="00045316">
      <w:pPr>
        <w:spacing w:line="360" w:lineRule="auto"/>
        <w:jc w:val="both"/>
      </w:pPr>
    </w:p>
    <w:p w14:paraId="235F6672" w14:textId="77777777" w:rsidR="00045316" w:rsidRDefault="00FA021F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10 - 100 nodos</w:t>
      </w:r>
    </w:p>
    <w:p w14:paraId="235F6673" w14:textId="77777777" w:rsidR="00045316" w:rsidRDefault="00FA021F">
      <w:pPr>
        <w:numPr>
          <w:ilvl w:val="1"/>
          <w:numId w:val="1"/>
        </w:numPr>
        <w:spacing w:line="360" w:lineRule="auto"/>
        <w:ind w:hanging="360"/>
        <w:contextualSpacing/>
        <w:jc w:val="both"/>
      </w:pPr>
      <w:r>
        <w:t xml:space="preserve">En esta categoría, basados en los datos que nos generaron los algoritmos, podemos observar que el método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el más eficiente con respecto al tiempo, ya que en los casos de prueba fue el que duró menos, pero lo que es referente a la memori</w:t>
      </w:r>
      <w:r>
        <w:t xml:space="preserve">a, se observa que el mejor algoritmo fue el Hill </w:t>
      </w:r>
      <w:proofErr w:type="spellStart"/>
      <w:r>
        <w:t>Climbing</w:t>
      </w:r>
      <w:proofErr w:type="spellEnd"/>
      <w:r>
        <w:t xml:space="preserve">. </w:t>
      </w:r>
    </w:p>
    <w:p w14:paraId="235F6674" w14:textId="77777777" w:rsidR="00045316" w:rsidRDefault="00FA021F">
      <w:pPr>
        <w:numPr>
          <w:ilvl w:val="1"/>
          <w:numId w:val="1"/>
        </w:numPr>
        <w:spacing w:line="360" w:lineRule="auto"/>
        <w:ind w:hanging="360"/>
        <w:contextualSpacing/>
        <w:jc w:val="both"/>
      </w:pPr>
      <w:r>
        <w:t xml:space="preserve">En el caso de la memoria, el algoritmo Hill </w:t>
      </w:r>
      <w:proofErr w:type="spellStart"/>
      <w:r>
        <w:t>Climbing</w:t>
      </w:r>
      <w:proofErr w:type="spellEnd"/>
      <w:r>
        <w:t xml:space="preserve"> reduce mucho el espacio de búsqueda ya que la lista de nodos abiertos se vacía cuando se elige el camino a tomar (se elige el mejor en ese esta</w:t>
      </w:r>
      <w:r>
        <w:t>do), con esto utiliza mucha menos memoria que los otros algoritmos</w:t>
      </w:r>
    </w:p>
    <w:p w14:paraId="235F6675" w14:textId="77777777" w:rsidR="00045316" w:rsidRDefault="00045316">
      <w:pPr>
        <w:spacing w:line="360" w:lineRule="auto"/>
        <w:jc w:val="both"/>
      </w:pPr>
    </w:p>
    <w:p w14:paraId="235F6676" w14:textId="77777777" w:rsidR="00045316" w:rsidRDefault="00FA021F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10000 - 1000000 nodos</w:t>
      </w:r>
    </w:p>
    <w:p w14:paraId="235F6677" w14:textId="77777777" w:rsidR="00045316" w:rsidRDefault="00FA021F">
      <w:pPr>
        <w:numPr>
          <w:ilvl w:val="1"/>
          <w:numId w:val="3"/>
        </w:numPr>
        <w:spacing w:line="360" w:lineRule="auto"/>
        <w:ind w:hanging="360"/>
        <w:contextualSpacing/>
        <w:jc w:val="both"/>
      </w:pPr>
      <w:r>
        <w:t xml:space="preserve">En esta categoría, basados en los datos que nos generaron los algoritmos, podemos observar que el método </w:t>
      </w:r>
      <w:proofErr w:type="spellStart"/>
      <w:r>
        <w:t>Tabu</w:t>
      </w:r>
      <w:proofErr w:type="spellEnd"/>
      <w:r>
        <w:t xml:space="preserve"> es el más eficiente con respecto al tiempo y a la memoria, ya que en los casos de prueba fue el que duró menos y </w:t>
      </w:r>
      <w:proofErr w:type="spellStart"/>
      <w:r>
        <w:t>e</w:t>
      </w:r>
      <w:proofErr w:type="spellEnd"/>
      <w:r>
        <w:t xml:space="preserve"> que menos consumió memoria.</w:t>
      </w:r>
    </w:p>
    <w:p w14:paraId="235F6678" w14:textId="77777777" w:rsidR="00045316" w:rsidRDefault="00FA021F">
      <w:pPr>
        <w:numPr>
          <w:ilvl w:val="1"/>
          <w:numId w:val="3"/>
        </w:numPr>
        <w:spacing w:line="360" w:lineRule="auto"/>
        <w:ind w:hanging="360"/>
        <w:contextualSpacing/>
        <w:jc w:val="both"/>
      </w:pPr>
      <w:r>
        <w:t>Bas</w:t>
      </w:r>
      <w:r>
        <w:t xml:space="preserve">ados en los resultados, se puede observar que el algoritmo </w:t>
      </w:r>
      <w:proofErr w:type="spellStart"/>
      <w:r>
        <w:t>Tabu</w:t>
      </w:r>
      <w:proofErr w:type="spellEnd"/>
      <w:r>
        <w:t xml:space="preserve"> utiliza menos memoria y tiempo para encontrar una solución, no obstante esta solución no siempre es la de menor costo ya que el algoritmo selecciona la primera solución que encuentre y le real</w:t>
      </w:r>
      <w:r>
        <w:t>iza alteraciones para encontrar nuevas soluciones (crea vecinos), y aunque devuelve la solución más corta entre esos vecinos pueden que existan soluciones más óptimas que no se están encontrando debido a que solo se está utilizando de base una solución ini</w:t>
      </w:r>
      <w:r>
        <w:t>cial que puede que sea muy costosa.</w:t>
      </w:r>
    </w:p>
    <w:p w14:paraId="235F6679" w14:textId="77777777" w:rsidR="00045316" w:rsidRDefault="00FA021F">
      <w:pPr>
        <w:spacing w:line="360" w:lineRule="auto"/>
        <w:jc w:val="both"/>
      </w:pPr>
      <w:r>
        <w:br/>
      </w:r>
    </w:p>
    <w:p w14:paraId="235F667A" w14:textId="77777777" w:rsidR="00045316" w:rsidRDefault="00045316"/>
    <w:p w14:paraId="235F667B" w14:textId="77777777" w:rsidR="00045316" w:rsidRDefault="00FA021F">
      <w:pPr>
        <w:spacing w:line="360" w:lineRule="auto"/>
        <w:jc w:val="both"/>
      </w:pPr>
      <w:r>
        <w:t xml:space="preserve">En el caso de los algoritmos SA y </w:t>
      </w:r>
      <w:proofErr w:type="spellStart"/>
      <w:r>
        <w:t>Tabu</w:t>
      </w:r>
      <w:proofErr w:type="spellEnd"/>
      <w:r>
        <w:t xml:space="preserve">, esta prueba con 1000000 o más nodos resultó imposible de realizar, esto debido a que ambos algoritmos poseen una función recursiva que se invoca tantas veces que provoca que la </w:t>
      </w:r>
      <w:r>
        <w:t xml:space="preserve">pila de llamadas de </w:t>
      </w:r>
      <w:proofErr w:type="spellStart"/>
      <w:r>
        <w:t>Javascript</w:t>
      </w:r>
      <w:proofErr w:type="spellEnd"/>
      <w:r>
        <w:t xml:space="preserve"> llegue a su límite,  cancelando así la continuación del algoritmo y llamando la siguiente excepción “</w:t>
      </w:r>
      <w:proofErr w:type="spellStart"/>
      <w:r>
        <w:rPr>
          <w:shd w:val="clear" w:color="auto" w:fill="F9F9F9"/>
        </w:rPr>
        <w:t>Maximum</w:t>
      </w:r>
      <w:proofErr w:type="spellEnd"/>
      <w:r>
        <w:rPr>
          <w:shd w:val="clear" w:color="auto" w:fill="F9F9F9"/>
        </w:rPr>
        <w:t xml:space="preserve"> </w:t>
      </w:r>
      <w:proofErr w:type="spellStart"/>
      <w:r>
        <w:rPr>
          <w:shd w:val="clear" w:color="auto" w:fill="F9F9F9"/>
        </w:rPr>
        <w:t>call</w:t>
      </w:r>
      <w:proofErr w:type="spellEnd"/>
      <w:r>
        <w:rPr>
          <w:shd w:val="clear" w:color="auto" w:fill="F9F9F9"/>
        </w:rPr>
        <w:t xml:space="preserve"> </w:t>
      </w:r>
      <w:proofErr w:type="spellStart"/>
      <w:r>
        <w:rPr>
          <w:shd w:val="clear" w:color="auto" w:fill="F9F9F9"/>
        </w:rPr>
        <w:t>stack</w:t>
      </w:r>
      <w:proofErr w:type="spellEnd"/>
      <w:r>
        <w:rPr>
          <w:shd w:val="clear" w:color="auto" w:fill="F9F9F9"/>
        </w:rPr>
        <w:t xml:space="preserve"> </w:t>
      </w:r>
      <w:proofErr w:type="spellStart"/>
      <w:r>
        <w:rPr>
          <w:shd w:val="clear" w:color="auto" w:fill="F9F9F9"/>
        </w:rPr>
        <w:t>size</w:t>
      </w:r>
      <w:proofErr w:type="spellEnd"/>
      <w:r>
        <w:rPr>
          <w:shd w:val="clear" w:color="auto" w:fill="F9F9F9"/>
        </w:rPr>
        <w:t xml:space="preserve"> </w:t>
      </w:r>
      <w:proofErr w:type="spellStart"/>
      <w:r>
        <w:rPr>
          <w:shd w:val="clear" w:color="auto" w:fill="F9F9F9"/>
        </w:rPr>
        <w:t>exceeded</w:t>
      </w:r>
      <w:proofErr w:type="spellEnd"/>
      <w:r>
        <w:t>”.</w:t>
      </w:r>
    </w:p>
    <w:p w14:paraId="235F667C" w14:textId="77777777" w:rsidR="00045316" w:rsidRDefault="00045316">
      <w:pPr>
        <w:spacing w:line="360" w:lineRule="auto"/>
        <w:jc w:val="both"/>
      </w:pPr>
    </w:p>
    <w:p w14:paraId="235F667D" w14:textId="77777777" w:rsidR="00045316" w:rsidRDefault="00FA021F">
      <w:pPr>
        <w:spacing w:line="360" w:lineRule="auto"/>
        <w:jc w:val="both"/>
      </w:pPr>
      <w:r>
        <w:t xml:space="preserve">El algoritmo Hill </w:t>
      </w:r>
      <w:proofErr w:type="spellStart"/>
      <w:r>
        <w:t>Climbing</w:t>
      </w:r>
      <w:proofErr w:type="spellEnd"/>
      <w:r>
        <w:t xml:space="preserve"> falla con grafos de gran cantidad de nodos, por ello no se hi</w:t>
      </w:r>
      <w:r>
        <w:t xml:space="preserve">cieron pruebas de más de 10000 nodos. Esto sucede porque el algoritmo evita el </w:t>
      </w:r>
      <w:proofErr w:type="spellStart"/>
      <w:r>
        <w:t>backtracking</w:t>
      </w:r>
      <w:proofErr w:type="spellEnd"/>
      <w:r>
        <w:t xml:space="preserve"> al elegir un solo nodo para avanzar con cada paso que hace en la búsqueda, ignorando las demás opciones en una profundidad dada. Al hacer esto se cortan muchos posi</w:t>
      </w:r>
      <w:r>
        <w:t>bles caminos y resulta en que la búsqueda termine pronto al acabarse los posibles caminos a seguir sin haber encontrado solución.</w:t>
      </w:r>
    </w:p>
    <w:p w14:paraId="235F667E" w14:textId="77777777" w:rsidR="00045316" w:rsidRDefault="00045316">
      <w:pPr>
        <w:spacing w:line="360" w:lineRule="auto"/>
        <w:jc w:val="both"/>
      </w:pPr>
    </w:p>
    <w:p w14:paraId="235F667F" w14:textId="77777777" w:rsidR="00045316" w:rsidRPr="00FA021F" w:rsidRDefault="00FA021F">
      <w:pPr>
        <w:spacing w:line="360" w:lineRule="auto"/>
        <w:jc w:val="both"/>
        <w:rPr>
          <w:u w:val="single"/>
        </w:rPr>
      </w:pPr>
      <w:r>
        <w:t>La evaluación de los algoritmos con diferentes tipos de grafos fue complicada ya que los estados iniciales y finales eran sel</w:t>
      </w:r>
      <w:r>
        <w:t>eccionados al azar y no había forma de seleccionarlos a gusto de uno por la gran cantidad de nodos que habían. Por esta razón, muchas pruebas daban error indicando que no había una ruta y ya con grafos de un millón o más nodos, todos los algoritmos estuvie</w:t>
      </w:r>
      <w:r>
        <w:t>ron a prueba por varias horas sin dar resultado alguno, por lo que se decidió parar la ejecución de estas pruebas. El factor de hardware y software también influyó en esta decisión.</w:t>
      </w:r>
      <w:bookmarkStart w:id="0" w:name="_GoBack"/>
      <w:bookmarkEnd w:id="0"/>
    </w:p>
    <w:sectPr w:rsidR="00045316" w:rsidRPr="00FA02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A420C"/>
    <w:multiLevelType w:val="multilevel"/>
    <w:tmpl w:val="EF345A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3351D45"/>
    <w:multiLevelType w:val="multilevel"/>
    <w:tmpl w:val="2132C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7064B20"/>
    <w:multiLevelType w:val="multilevel"/>
    <w:tmpl w:val="A4829E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5316"/>
    <w:rsid w:val="00045316"/>
    <w:rsid w:val="00643955"/>
    <w:rsid w:val="00715B20"/>
    <w:rsid w:val="00AC3547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645F"/>
  <w15:docId w15:val="{818F3261-587E-472C-9E84-0AA9105D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1085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Javier Ramírez Torres</cp:lastModifiedBy>
  <cp:revision>5</cp:revision>
  <dcterms:created xsi:type="dcterms:W3CDTF">2017-04-25T06:59:00Z</dcterms:created>
  <dcterms:modified xsi:type="dcterms:W3CDTF">2017-04-25T07:01:00Z</dcterms:modified>
</cp:coreProperties>
</file>