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 look at the distribution of deactivated dFADs used by the French Indian Ocean tropical tuna purse-seine fishery</w:t>
      </w:r>
    </w:p>
    <w:p>
      <w:pPr>
        <w:pStyle w:val="Author"/>
      </w:pPr>
      <w:r>
        <w:t xml:space="preserve">Wencheng Lau-Medrano</w:t>
      </w:r>
      <w:r>
        <w:rPr>
          <w:vertAlign w:val="superscript"/>
        </w:rPr>
        <w:t xml:space="preserve">1,2,✉</w:t>
      </w:r>
      <w:r>
        <w:t xml:space="preserve">, Daniel Gaertner</w:t>
      </w:r>
      <w:r>
        <w:rPr>
          <w:vertAlign w:val="superscript"/>
        </w:rPr>
        <w:t xml:space="preserve">1,2</w:t>
      </w:r>
      <w:r>
        <w:t xml:space="preserve">, Francis Marsac</w:t>
      </w:r>
      <w:r>
        <w:rPr>
          <w:vertAlign w:val="superscript"/>
        </w:rPr>
        <w:t xml:space="preserve">1,2</w:t>
      </w:r>
      <w:r>
        <w:t xml:space="preserve">, Loreleï Guéry</w:t>
      </w:r>
      <w:r>
        <w:rPr>
          <w:vertAlign w:val="superscript"/>
        </w:rPr>
        <w:t xml:space="preserve">3,4</w:t>
      </w:r>
      <w:r>
        <w:t xml:space="preserve">, and David M. Kaplan</w:t>
      </w:r>
      <w:r>
        <w:rPr>
          <w:vertAlign w:val="superscript"/>
        </w:rPr>
        <w:t xml:space="preserve">1,2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MARBEC, University of Montpellier, CNRS, Ifremer, IRD, Sète,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 de Recherche pour le Développement (IRD), Av. Jean Monnet, 34203 Sète, France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CIRAD, UMR PHIM, Montpellier, France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PHIM, University of Montpellier, CIRAD, INRAE, Institut Agro, IRD, Montpellier, France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Wencheng Lau-Medrano &lt;luis.laum@gmail.com&gt;</w:t>
        </w:r>
      </w:hyperlink>
    </w:p>
    <w:bookmarkStart w:id="21" w:name="abstract"/>
    <w:p>
      <w:pPr>
        <w:pStyle w:val="Heading2"/>
      </w:pPr>
      <w:r>
        <w:t xml:space="preserve">Abstract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6" w:name="acknowledgements"/>
    <w:p>
      <w:pPr>
        <w:pStyle w:val="Heading1"/>
      </w:pPr>
      <w:r>
        <w:t xml:space="preserve">Acknowledgements</w:t>
      </w:r>
    </w:p>
    <w:bookmarkEnd w:id="26"/>
    <w:bookmarkStart w:id="27" w:name="author-contribution"/>
    <w:p>
      <w:pPr>
        <w:pStyle w:val="Heading1"/>
      </w:pPr>
      <w:r>
        <w:t xml:space="preserve">Author contribution</w:t>
      </w:r>
    </w:p>
    <w:bookmarkEnd w:id="27"/>
    <w:bookmarkStart w:id="28" w:name="data-availability-statement"/>
    <w:p>
      <w:pPr>
        <w:pStyle w:val="Heading1"/>
      </w:pPr>
      <w:r>
        <w:t xml:space="preserve">Data availability statement</w:t>
      </w:r>
    </w:p>
    <w:bookmarkEnd w:id="28"/>
    <w:bookmarkStart w:id="29" w:name="code-availability"/>
    <w:p>
      <w:pPr>
        <w:pStyle w:val="Heading1"/>
      </w:pPr>
      <w:r>
        <w:t xml:space="preserve">Code availability</w:t>
      </w:r>
    </w:p>
    <w:bookmarkEnd w:id="29"/>
    <w:bookmarkStart w:id="30" w:name="funding"/>
    <w:p>
      <w:pPr>
        <w:pStyle w:val="Heading1"/>
      </w:pPr>
      <w:r>
        <w:t xml:space="preserve">Funding</w:t>
      </w:r>
    </w:p>
    <w:bookmarkEnd w:id="30"/>
    <w:bookmarkStart w:id="31" w:name="competing-interests"/>
    <w:p>
      <w:pPr>
        <w:pStyle w:val="Heading1"/>
      </w:pPr>
      <w:r>
        <w:t xml:space="preserve">Competing interests</w:t>
      </w:r>
    </w:p>
    <w:bookmarkEnd w:id="31"/>
    <w:bookmarkStart w:id="32" w:name="references"/>
    <w:p>
      <w:pPr>
        <w:pStyle w:val="Heading1"/>
      </w:pPr>
      <w:r>
        <w:t xml:space="preserve">References</w:t>
      </w:r>
    </w:p>
    <w:bookmarkEnd w:id="32"/>
    <w:sectPr w:rsidR="00A4039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0BA036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2266376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390"/>
    <w:rsid w:val="001704C7"/>
    <w:rsid w:val="00350552"/>
    <w:rsid w:val="00417C08"/>
    <w:rsid w:val="004768B6"/>
    <w:rsid w:val="006600AF"/>
    <w:rsid w:val="007E4DCD"/>
    <w:rsid w:val="00A40390"/>
    <w:rsid w:val="00BE45A3"/>
    <w:rsid w:val="00D42E3B"/>
    <w:rsid w:val="00D6349E"/>
    <w:rsid w:val="00D70BA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50552"/>
    <w:pPr>
      <w:jc w:val="both"/>
    </w:pPr>
    <w:rPr>
      <w:sz w:val="22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A66AC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A66AC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A66AC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A66AC"/>
      <w:sz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A66AC"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A66AC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A66AC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A66AC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A66AC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Normal"/>
    <w:qFormat/>
    <w:rsid w:val="00D6349E"/>
    <w:pPr>
      <w:contextualSpacing/>
    </w:pPr>
  </w:style>
  <w:style w:customStyle="1" w:styleId="Compact" w:type="paragraph">
    <w:name w:val="Compact"/>
    <w:basedOn w:val="Normal"/>
    <w:qFormat/>
    <w:rsid w:val="001704C7"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4879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600AF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6349E"/>
    <w:pPr>
      <w:jc w:val="left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Normal"/>
    <w:rsid w:val="001704C7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A66AC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74C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luis.laum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luis.laum@gmail.com" TargetMode="External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look at the distribution of deactivated dFADs used by the French Indian Ocean tropical tuna purse-seine fishery</dc:title>
  <dc:creator>Wencheng Lau-Medrano1,2,✉, Daniel Gaertner1,2, Francis Marsac1,2, Loreleï Guéry3,4, and David M. Kaplan1,2</dc:creator>
  <cp:keywords/>
  <dcterms:created xsi:type="dcterms:W3CDTF">2024-12-16T20:26:35Z</dcterms:created>
  <dcterms:modified xsi:type="dcterms:W3CDTF">2024-12-16T20:26:35Z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ices-journal-of-marine-science.csl</vt:lpwstr>
  </property>
  <property fmtid="{D5CDD505-2E9C-101B-9397-08002B2CF9AE}" pid="8" name="editor">
    <vt:lpwstr>source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oc-title">
    <vt:lpwstr>Table of contents</vt:lpwstr>
  </property>
</Properties>
</file>