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F1CA" w14:textId="31C99E76" w:rsidR="0095347C" w:rsidRPr="00717CED" w:rsidRDefault="009F0CA5" w:rsidP="00717CED">
      <w:pPr>
        <w:jc w:val="center"/>
        <w:rPr>
          <w:rFonts w:asciiTheme="majorHAnsi" w:hAnsiTheme="majorHAnsi" w:cstheme="majorHAnsi"/>
          <w:b/>
          <w:bCs/>
          <w:sz w:val="24"/>
          <w:szCs w:val="24"/>
          <w:u w:val="single"/>
        </w:rPr>
      </w:pPr>
      <w:r w:rsidRPr="00717CED">
        <w:rPr>
          <w:rFonts w:asciiTheme="majorHAnsi" w:hAnsiTheme="majorHAnsi" w:cstheme="majorHAnsi"/>
          <w:b/>
          <w:bCs/>
          <w:sz w:val="24"/>
          <w:szCs w:val="24"/>
          <w:u w:val="single"/>
        </w:rPr>
        <w:t>METADATOS</w:t>
      </w:r>
    </w:p>
    <w:p w14:paraId="6F6FA515" w14:textId="291CF929" w:rsidR="009F0CA5" w:rsidRPr="009F0CA5" w:rsidRDefault="009F0CA5">
      <w:pPr>
        <w:rPr>
          <w:rFonts w:asciiTheme="majorHAnsi" w:hAnsiTheme="majorHAnsi" w:cstheme="majorHAnsi"/>
        </w:rPr>
      </w:pPr>
    </w:p>
    <w:p w14:paraId="578F6E56" w14:textId="462F4FFA" w:rsidR="009F0CA5" w:rsidRPr="007468E8" w:rsidRDefault="009F0CA5" w:rsidP="00BE2CC3">
      <w:pPr>
        <w:rPr>
          <w:rFonts w:asciiTheme="majorHAnsi" w:hAnsiTheme="majorHAnsi" w:cstheme="majorHAnsi"/>
        </w:rPr>
      </w:pPr>
      <w:r w:rsidRPr="007468E8">
        <w:rPr>
          <w:rFonts w:asciiTheme="majorHAnsi" w:hAnsiTheme="majorHAnsi" w:cstheme="majorHAnsi"/>
        </w:rPr>
        <w:t xml:space="preserve">Metadatos del </w:t>
      </w:r>
      <w:proofErr w:type="spellStart"/>
      <w:r w:rsidRPr="007468E8">
        <w:rPr>
          <w:rFonts w:asciiTheme="majorHAnsi" w:hAnsiTheme="majorHAnsi" w:cstheme="majorHAnsi"/>
        </w:rPr>
        <w:t>dataset</w:t>
      </w:r>
      <w:proofErr w:type="spellEnd"/>
      <w:r w:rsidR="00EB1A82" w:rsidRPr="007468E8">
        <w:rPr>
          <w:rFonts w:asciiTheme="majorHAnsi" w:hAnsiTheme="majorHAnsi" w:cstheme="majorHAnsi"/>
        </w:rPr>
        <w:t xml:space="preserve">: </w:t>
      </w:r>
      <w:r w:rsidRPr="007468E8">
        <w:rPr>
          <w:rFonts w:asciiTheme="majorHAnsi" w:hAnsiTheme="majorHAnsi" w:cstheme="majorHAnsi"/>
        </w:rPr>
        <w:t xml:space="preserve"> </w:t>
      </w:r>
      <w:r w:rsidR="00426200">
        <w:rPr>
          <w:rFonts w:asciiTheme="majorHAnsi" w:hAnsiTheme="majorHAnsi" w:cstheme="majorHAnsi"/>
        </w:rPr>
        <w:t>Residuos municipalidades generados anualmente</w:t>
      </w:r>
      <w:r w:rsidRPr="007468E8">
        <w:rPr>
          <w:rFonts w:asciiTheme="majorHAnsi" w:hAnsiTheme="majorHAnsi" w:cstheme="majorHAnsi"/>
        </w:rPr>
        <w:t xml:space="preserve"> - [Ministerio de</w:t>
      </w:r>
      <w:r w:rsidR="004E4DA4" w:rsidRPr="007468E8">
        <w:rPr>
          <w:rFonts w:asciiTheme="majorHAnsi" w:hAnsiTheme="majorHAnsi" w:cstheme="majorHAnsi"/>
        </w:rPr>
        <w:t>l Ambiente</w:t>
      </w:r>
      <w:r w:rsidR="00FC3319">
        <w:rPr>
          <w:rFonts w:asciiTheme="majorHAnsi" w:hAnsiTheme="majorHAnsi" w:cstheme="majorHAnsi"/>
        </w:rPr>
        <w:t xml:space="preserve"> </w:t>
      </w:r>
      <w:r w:rsidRPr="007468E8">
        <w:rPr>
          <w:rFonts w:asciiTheme="majorHAnsi" w:hAnsiTheme="majorHAnsi" w:cstheme="majorHAnsi"/>
        </w:rPr>
        <w:t>- M</w:t>
      </w:r>
      <w:r w:rsidR="00F1229D" w:rsidRPr="007468E8">
        <w:rPr>
          <w:rFonts w:asciiTheme="majorHAnsi" w:hAnsiTheme="majorHAnsi" w:cstheme="majorHAnsi"/>
        </w:rPr>
        <w:t>IN</w:t>
      </w:r>
      <w:r w:rsidR="004E4DA4" w:rsidRPr="007468E8">
        <w:rPr>
          <w:rFonts w:asciiTheme="majorHAnsi" w:hAnsiTheme="majorHAnsi" w:cstheme="majorHAnsi"/>
        </w:rPr>
        <w:t>AM</w:t>
      </w:r>
      <w:r w:rsidRPr="007468E8">
        <w:rPr>
          <w:rFonts w:asciiTheme="majorHAnsi" w:hAnsiTheme="majorHAnsi" w:cstheme="majorHAnsi"/>
        </w:rPr>
        <w:t>]</w:t>
      </w:r>
    </w:p>
    <w:tbl>
      <w:tblPr>
        <w:tblStyle w:val="Tablaconcuadrcula"/>
        <w:tblW w:w="10456" w:type="dxa"/>
        <w:tblLook w:val="04A0" w:firstRow="1" w:lastRow="0" w:firstColumn="1" w:lastColumn="0" w:noHBand="0" w:noVBand="1"/>
      </w:tblPr>
      <w:tblGrid>
        <w:gridCol w:w="2972"/>
        <w:gridCol w:w="7484"/>
      </w:tblGrid>
      <w:tr w:rsidR="00504D0A" w:rsidRPr="007468E8" w14:paraId="30B6BD9E" w14:textId="77777777" w:rsidTr="00504D0A">
        <w:tc>
          <w:tcPr>
            <w:tcW w:w="2972" w:type="dxa"/>
            <w:vAlign w:val="center"/>
          </w:tcPr>
          <w:p w14:paraId="2E49C04D" w14:textId="2226C055" w:rsidR="00504D0A" w:rsidRPr="007468E8" w:rsidRDefault="00DA6578" w:rsidP="00504D0A">
            <w:pPr>
              <w:rPr>
                <w:rFonts w:cstheme="minorHAnsi"/>
                <w:sz w:val="20"/>
                <w:szCs w:val="20"/>
              </w:rPr>
            </w:pPr>
            <w:r>
              <w:rPr>
                <w:rFonts w:asciiTheme="majorHAnsi" w:hAnsiTheme="majorHAnsi" w:cstheme="majorHAnsi"/>
              </w:rPr>
              <w:t xml:space="preserve"> </w:t>
            </w:r>
            <w:r w:rsidR="00504D0A" w:rsidRPr="007468E8">
              <w:rPr>
                <w:rFonts w:cstheme="minorHAnsi"/>
                <w:b/>
                <w:bCs/>
                <w:color w:val="000000" w:themeColor="text1"/>
                <w:kern w:val="24"/>
                <w:sz w:val="20"/>
                <w:szCs w:val="20"/>
                <w:lang w:val="es-MX"/>
              </w:rPr>
              <w:t>Título</w:t>
            </w:r>
          </w:p>
        </w:tc>
        <w:tc>
          <w:tcPr>
            <w:tcW w:w="7484" w:type="dxa"/>
          </w:tcPr>
          <w:p w14:paraId="301BAC89" w14:textId="1D039B82" w:rsidR="00504D0A" w:rsidRPr="00FC3319" w:rsidRDefault="00426200" w:rsidP="00504D0A">
            <w:pPr>
              <w:rPr>
                <w:rFonts w:asciiTheme="majorHAnsi" w:hAnsiTheme="majorHAnsi" w:cstheme="majorHAnsi"/>
              </w:rPr>
            </w:pPr>
            <w:r>
              <w:rPr>
                <w:rFonts w:cstheme="minorHAnsi"/>
                <w:sz w:val="20"/>
                <w:szCs w:val="20"/>
              </w:rPr>
              <w:t>Residuos municipales generados anualmente</w:t>
            </w:r>
            <w:r w:rsidR="00FC3319" w:rsidRPr="00FC3319">
              <w:rPr>
                <w:rFonts w:cstheme="minorHAnsi"/>
                <w:sz w:val="20"/>
                <w:szCs w:val="20"/>
              </w:rPr>
              <w:t xml:space="preserve"> - [Ministerio del Ambiente - MINAM]</w:t>
            </w:r>
          </w:p>
        </w:tc>
      </w:tr>
      <w:tr w:rsidR="00504D0A" w:rsidRPr="007468E8" w14:paraId="1E2BA938" w14:textId="77777777" w:rsidTr="00504D0A">
        <w:tc>
          <w:tcPr>
            <w:tcW w:w="2972" w:type="dxa"/>
            <w:vAlign w:val="center"/>
          </w:tcPr>
          <w:p w14:paraId="17CCE901" w14:textId="235EEF53" w:rsidR="00504D0A" w:rsidRPr="007468E8" w:rsidRDefault="00504D0A" w:rsidP="00504D0A">
            <w:pPr>
              <w:rPr>
                <w:rFonts w:cstheme="minorHAnsi"/>
                <w:sz w:val="20"/>
                <w:szCs w:val="20"/>
              </w:rPr>
            </w:pPr>
            <w:r w:rsidRPr="007468E8">
              <w:rPr>
                <w:rFonts w:cstheme="minorHAnsi"/>
                <w:b/>
                <w:bCs/>
                <w:color w:val="000000" w:themeColor="text1"/>
                <w:kern w:val="24"/>
                <w:sz w:val="20"/>
                <w:szCs w:val="20"/>
                <w:lang w:val="es-MX"/>
              </w:rPr>
              <w:t>Título URL Descripción</w:t>
            </w:r>
          </w:p>
        </w:tc>
        <w:tc>
          <w:tcPr>
            <w:tcW w:w="7484" w:type="dxa"/>
          </w:tcPr>
          <w:p w14:paraId="0AF6190C" w14:textId="77777777" w:rsidR="00504D0A" w:rsidRPr="007468E8" w:rsidRDefault="00504D0A" w:rsidP="00504D0A">
            <w:pPr>
              <w:rPr>
                <w:rFonts w:cstheme="minorHAnsi"/>
                <w:sz w:val="20"/>
                <w:szCs w:val="20"/>
              </w:rPr>
            </w:pPr>
          </w:p>
        </w:tc>
      </w:tr>
      <w:tr w:rsidR="00504D0A" w:rsidRPr="007468E8" w14:paraId="2EC58AEF" w14:textId="77777777" w:rsidTr="00264613">
        <w:trPr>
          <w:trHeight w:val="1975"/>
        </w:trPr>
        <w:tc>
          <w:tcPr>
            <w:tcW w:w="2972" w:type="dxa"/>
            <w:vAlign w:val="center"/>
          </w:tcPr>
          <w:p w14:paraId="24E79BF0" w14:textId="0C1004DE" w:rsidR="00504D0A" w:rsidRPr="007468E8" w:rsidRDefault="00504D0A" w:rsidP="00504D0A">
            <w:pPr>
              <w:rPr>
                <w:rFonts w:cstheme="minorHAnsi"/>
                <w:sz w:val="20"/>
                <w:szCs w:val="20"/>
              </w:rPr>
            </w:pPr>
            <w:r w:rsidRPr="007468E8">
              <w:rPr>
                <w:rFonts w:cstheme="minorHAnsi"/>
                <w:b/>
                <w:bCs/>
                <w:color w:val="000000" w:themeColor="text1"/>
                <w:kern w:val="24"/>
                <w:sz w:val="20"/>
                <w:szCs w:val="20"/>
                <w:lang w:val="es-MX"/>
              </w:rPr>
              <w:t>Descripción</w:t>
            </w:r>
          </w:p>
        </w:tc>
        <w:tc>
          <w:tcPr>
            <w:tcW w:w="7484" w:type="dxa"/>
          </w:tcPr>
          <w:p w14:paraId="1EB0F81E" w14:textId="1E68416C" w:rsidR="00037BC5" w:rsidRDefault="00037BC5" w:rsidP="00426200">
            <w:pPr>
              <w:jc w:val="both"/>
              <w:rPr>
                <w:rFonts w:cstheme="minorHAnsi"/>
                <w:sz w:val="20"/>
                <w:szCs w:val="20"/>
              </w:rPr>
            </w:pPr>
            <w:r>
              <w:rPr>
                <w:rFonts w:cstheme="minorHAnsi"/>
                <w:sz w:val="20"/>
                <w:szCs w:val="20"/>
              </w:rPr>
              <w:t xml:space="preserve"> - La </w:t>
            </w:r>
            <w:r w:rsidRPr="00037BC5">
              <w:rPr>
                <w:rFonts w:cstheme="minorHAnsi"/>
                <w:sz w:val="20"/>
                <w:szCs w:val="20"/>
              </w:rPr>
              <w:t xml:space="preserve">generación per cápita </w:t>
            </w:r>
            <w:r>
              <w:rPr>
                <w:rFonts w:cstheme="minorHAnsi"/>
                <w:sz w:val="20"/>
                <w:szCs w:val="20"/>
              </w:rPr>
              <w:t xml:space="preserve">(GPC) </w:t>
            </w:r>
            <w:r w:rsidRPr="00037BC5">
              <w:rPr>
                <w:rFonts w:cstheme="minorHAnsi"/>
                <w:sz w:val="20"/>
                <w:szCs w:val="20"/>
              </w:rPr>
              <w:t>de residuos domiciliarios corresponde a la cantidad de residuos sólidos generados diariamente por habitante de una vivienda, a nivel distrital. La unidad de medida es en kg/hab./día.</w:t>
            </w:r>
          </w:p>
          <w:p w14:paraId="70F3194D" w14:textId="391E8759" w:rsidR="00037BC5" w:rsidRDefault="00037BC5" w:rsidP="00426200">
            <w:pPr>
              <w:jc w:val="both"/>
              <w:rPr>
                <w:rFonts w:cstheme="minorHAnsi"/>
                <w:sz w:val="20"/>
                <w:szCs w:val="20"/>
              </w:rPr>
            </w:pPr>
          </w:p>
          <w:p w14:paraId="633B3C38" w14:textId="314C5FCD" w:rsidR="00037BC5" w:rsidRDefault="00037BC5" w:rsidP="00426200">
            <w:pPr>
              <w:jc w:val="both"/>
              <w:rPr>
                <w:rFonts w:cstheme="minorHAnsi"/>
                <w:sz w:val="20"/>
                <w:szCs w:val="20"/>
              </w:rPr>
            </w:pPr>
            <w:r w:rsidRPr="00037BC5">
              <w:rPr>
                <w:rFonts w:cstheme="minorHAnsi"/>
                <w:sz w:val="20"/>
                <w:szCs w:val="20"/>
              </w:rPr>
              <w:t>La GPC de residuos domiciliarios es un dato obtenido de los estudios de caracterización elaborados por las municipalidades provinciales y distritales</w:t>
            </w:r>
            <w:r>
              <w:rPr>
                <w:rFonts w:cstheme="minorHAnsi"/>
                <w:sz w:val="20"/>
                <w:szCs w:val="20"/>
              </w:rPr>
              <w:t xml:space="preserve"> y se refiere </w:t>
            </w:r>
            <w:r w:rsidRPr="00A0487D">
              <w:rPr>
                <w:rFonts w:cstheme="minorHAnsi"/>
                <w:sz w:val="20"/>
                <w:szCs w:val="20"/>
              </w:rPr>
              <w:t>a la generación de residuos sólidos por persona</w:t>
            </w:r>
            <w:r>
              <w:rPr>
                <w:rFonts w:cstheme="minorHAnsi"/>
                <w:sz w:val="20"/>
                <w:szCs w:val="20"/>
              </w:rPr>
              <w:t>-</w:t>
            </w:r>
            <w:r w:rsidRPr="00A0487D">
              <w:rPr>
                <w:rFonts w:cstheme="minorHAnsi"/>
                <w:sz w:val="20"/>
                <w:szCs w:val="20"/>
              </w:rPr>
              <w:t>día</w:t>
            </w:r>
            <w:r>
              <w:rPr>
                <w:rFonts w:cstheme="minorHAnsi"/>
                <w:sz w:val="20"/>
                <w:szCs w:val="20"/>
              </w:rPr>
              <w:t>.</w:t>
            </w:r>
          </w:p>
          <w:p w14:paraId="5A041709" w14:textId="69F48CC2" w:rsidR="00D07533" w:rsidRDefault="00D07533" w:rsidP="00426200">
            <w:pPr>
              <w:jc w:val="both"/>
              <w:rPr>
                <w:rFonts w:cstheme="minorHAnsi"/>
                <w:sz w:val="20"/>
                <w:szCs w:val="20"/>
              </w:rPr>
            </w:pPr>
          </w:p>
          <w:p w14:paraId="65B35AD3" w14:textId="77777777" w:rsidR="00D07533" w:rsidRDefault="00D07533" w:rsidP="00D07533">
            <w:pPr>
              <w:rPr>
                <w:rFonts w:cstheme="minorHAnsi"/>
                <w:sz w:val="20"/>
                <w:szCs w:val="20"/>
              </w:rPr>
            </w:pPr>
            <w:r>
              <w:rPr>
                <w:rFonts w:cstheme="minorHAnsi"/>
                <w:sz w:val="20"/>
                <w:szCs w:val="20"/>
              </w:rPr>
              <w:t>La</w:t>
            </w:r>
            <w:r w:rsidRPr="007468E8">
              <w:rPr>
                <w:rFonts w:cstheme="minorHAnsi"/>
                <w:sz w:val="20"/>
                <w:szCs w:val="20"/>
              </w:rPr>
              <w:t xml:space="preserve"> GPC de residuos domiciliarios es obtenido de los estudios de caracterización elaborados por las municipalidades provinciales y distritales.</w:t>
            </w:r>
          </w:p>
          <w:p w14:paraId="6E222CDB" w14:textId="301FCE36" w:rsidR="00037BC5" w:rsidRDefault="00037BC5" w:rsidP="00426200">
            <w:pPr>
              <w:jc w:val="both"/>
              <w:rPr>
                <w:rFonts w:cstheme="minorHAnsi"/>
                <w:sz w:val="20"/>
                <w:szCs w:val="20"/>
              </w:rPr>
            </w:pPr>
          </w:p>
          <w:p w14:paraId="708610A3" w14:textId="1661AAF4" w:rsidR="00426200" w:rsidRDefault="00037BC5" w:rsidP="00426200">
            <w:pPr>
              <w:jc w:val="both"/>
              <w:rPr>
                <w:rFonts w:cstheme="minorHAnsi"/>
                <w:sz w:val="20"/>
                <w:szCs w:val="20"/>
              </w:rPr>
            </w:pPr>
            <w:r>
              <w:rPr>
                <w:rFonts w:cstheme="minorHAnsi"/>
                <w:sz w:val="20"/>
                <w:szCs w:val="20"/>
              </w:rPr>
              <w:t xml:space="preserve">- </w:t>
            </w:r>
            <w:r w:rsidR="00426200">
              <w:rPr>
                <w:rFonts w:cstheme="minorHAnsi"/>
                <w:sz w:val="20"/>
                <w:szCs w:val="20"/>
              </w:rPr>
              <w:t>La</w:t>
            </w:r>
            <w:r w:rsidR="004E4DA4" w:rsidRPr="007468E8">
              <w:rPr>
                <w:rFonts w:cstheme="minorHAnsi"/>
                <w:sz w:val="20"/>
                <w:szCs w:val="20"/>
              </w:rPr>
              <w:t xml:space="preserve"> cantidad de residuos sólidos </w:t>
            </w:r>
            <w:r>
              <w:rPr>
                <w:rFonts w:cstheme="minorHAnsi"/>
                <w:sz w:val="20"/>
                <w:szCs w:val="20"/>
              </w:rPr>
              <w:t xml:space="preserve">domiciliarios </w:t>
            </w:r>
            <w:r w:rsidR="00426200" w:rsidRPr="007468E8">
              <w:rPr>
                <w:rFonts w:cstheme="minorHAnsi"/>
                <w:sz w:val="20"/>
                <w:szCs w:val="20"/>
              </w:rPr>
              <w:t xml:space="preserve">corresponde a </w:t>
            </w:r>
            <w:r w:rsidR="00426200">
              <w:rPr>
                <w:rFonts w:cstheme="minorHAnsi"/>
                <w:sz w:val="20"/>
                <w:szCs w:val="20"/>
              </w:rPr>
              <w:t xml:space="preserve">los </w:t>
            </w:r>
            <w:r w:rsidR="004E4DA4" w:rsidRPr="007468E8">
              <w:rPr>
                <w:rFonts w:cstheme="minorHAnsi"/>
                <w:sz w:val="20"/>
                <w:szCs w:val="20"/>
              </w:rPr>
              <w:t>generados en los domicilios</w:t>
            </w:r>
            <w:r w:rsidR="00B571FB" w:rsidRPr="007468E8">
              <w:rPr>
                <w:rFonts w:cstheme="minorHAnsi"/>
                <w:sz w:val="20"/>
                <w:szCs w:val="20"/>
              </w:rPr>
              <w:t xml:space="preserve"> </w:t>
            </w:r>
            <w:r w:rsidR="002E47A9" w:rsidRPr="007468E8">
              <w:rPr>
                <w:rFonts w:cstheme="minorHAnsi"/>
                <w:sz w:val="20"/>
                <w:szCs w:val="20"/>
              </w:rPr>
              <w:t xml:space="preserve">anualmente a nivel distrital. La </w:t>
            </w:r>
            <w:r w:rsidR="007468E8" w:rsidRPr="007468E8">
              <w:rPr>
                <w:rFonts w:cstheme="minorHAnsi"/>
                <w:sz w:val="20"/>
                <w:szCs w:val="20"/>
              </w:rPr>
              <w:t>unidad de</w:t>
            </w:r>
            <w:r w:rsidR="002E47A9" w:rsidRPr="007468E8">
              <w:rPr>
                <w:rFonts w:cstheme="minorHAnsi"/>
                <w:sz w:val="20"/>
                <w:szCs w:val="20"/>
              </w:rPr>
              <w:t xml:space="preserve"> medida es en </w:t>
            </w:r>
            <w:r w:rsidR="004E4DA4" w:rsidRPr="007468E8">
              <w:rPr>
                <w:rFonts w:cstheme="minorHAnsi"/>
                <w:sz w:val="20"/>
                <w:szCs w:val="20"/>
              </w:rPr>
              <w:t>toneladas</w:t>
            </w:r>
            <w:r w:rsidR="00AA5764">
              <w:rPr>
                <w:rFonts w:cstheme="minorHAnsi"/>
                <w:sz w:val="20"/>
                <w:szCs w:val="20"/>
              </w:rPr>
              <w:t>.</w:t>
            </w:r>
          </w:p>
          <w:p w14:paraId="20E2858E" w14:textId="2D2A5E7F" w:rsidR="00037BC5" w:rsidRDefault="00037BC5" w:rsidP="00426200">
            <w:pPr>
              <w:jc w:val="both"/>
              <w:rPr>
                <w:rFonts w:cstheme="minorHAnsi"/>
                <w:sz w:val="20"/>
                <w:szCs w:val="20"/>
              </w:rPr>
            </w:pPr>
          </w:p>
          <w:p w14:paraId="4D77F3AB" w14:textId="5A212A28" w:rsidR="00037BC5" w:rsidRDefault="00037BC5" w:rsidP="00426200">
            <w:pPr>
              <w:jc w:val="both"/>
              <w:rPr>
                <w:rFonts w:cstheme="minorHAnsi"/>
                <w:sz w:val="20"/>
                <w:szCs w:val="20"/>
              </w:rPr>
            </w:pPr>
            <w:r w:rsidRPr="00037BC5">
              <w:rPr>
                <w:rFonts w:cstheme="minorHAnsi"/>
                <w:sz w:val="20"/>
                <w:szCs w:val="20"/>
              </w:rPr>
              <w:t>Los residuos sólidos domiciliarios son aquellos provenientes del consumo o uso de un bien o servicio, que comprenden específicamente como fuente de generación a las viviendas.</w:t>
            </w:r>
          </w:p>
          <w:p w14:paraId="455B3798" w14:textId="77777777" w:rsidR="00D07533" w:rsidRDefault="00D07533" w:rsidP="00426200">
            <w:pPr>
              <w:jc w:val="both"/>
              <w:rPr>
                <w:rFonts w:cstheme="minorHAnsi"/>
                <w:sz w:val="20"/>
                <w:szCs w:val="20"/>
              </w:rPr>
            </w:pPr>
          </w:p>
          <w:p w14:paraId="57B93594" w14:textId="77777777" w:rsidR="00D07533" w:rsidRPr="007468E8" w:rsidRDefault="00D07533" w:rsidP="00D07533">
            <w:pPr>
              <w:rPr>
                <w:rFonts w:cstheme="minorHAnsi"/>
                <w:sz w:val="20"/>
                <w:szCs w:val="20"/>
              </w:rPr>
            </w:pPr>
            <w:r>
              <w:rPr>
                <w:rFonts w:cstheme="minorHAnsi"/>
                <w:sz w:val="20"/>
                <w:szCs w:val="20"/>
              </w:rPr>
              <w:t>La</w:t>
            </w:r>
            <w:r w:rsidRPr="007468E8">
              <w:rPr>
                <w:rFonts w:cstheme="minorHAnsi"/>
                <w:sz w:val="20"/>
                <w:szCs w:val="20"/>
              </w:rPr>
              <w:t xml:space="preserve"> estadística </w:t>
            </w:r>
            <w:r>
              <w:rPr>
                <w:rFonts w:cstheme="minorHAnsi"/>
                <w:sz w:val="20"/>
                <w:szCs w:val="20"/>
              </w:rPr>
              <w:t xml:space="preserve">de generación domiciliaria </w:t>
            </w:r>
            <w:r w:rsidRPr="007468E8">
              <w:rPr>
                <w:rFonts w:cstheme="minorHAnsi"/>
                <w:sz w:val="20"/>
                <w:szCs w:val="20"/>
              </w:rPr>
              <w:t>es construida a partir de dos variables</w:t>
            </w:r>
            <w:r>
              <w:rPr>
                <w:rFonts w:cstheme="minorHAnsi"/>
                <w:sz w:val="20"/>
                <w:szCs w:val="20"/>
              </w:rPr>
              <w:t>:</w:t>
            </w:r>
            <w:r w:rsidRPr="007468E8">
              <w:rPr>
                <w:rFonts w:cstheme="minorHAnsi"/>
                <w:sz w:val="20"/>
                <w:szCs w:val="20"/>
              </w:rPr>
              <w:t xml:space="preserve"> </w:t>
            </w:r>
          </w:p>
          <w:p w14:paraId="774948C0" w14:textId="77777777" w:rsidR="00D07533" w:rsidRPr="007468E8" w:rsidRDefault="00D07533" w:rsidP="00D07533">
            <w:pPr>
              <w:pStyle w:val="Prrafodelista"/>
              <w:numPr>
                <w:ilvl w:val="0"/>
                <w:numId w:val="6"/>
              </w:numPr>
              <w:rPr>
                <w:rFonts w:asciiTheme="minorHAnsi" w:eastAsiaTheme="minorHAnsi" w:hAnsiTheme="minorHAnsi" w:cstheme="minorHAnsi"/>
                <w:sz w:val="20"/>
                <w:szCs w:val="20"/>
                <w:lang w:eastAsia="en-US"/>
              </w:rPr>
            </w:pPr>
            <w:r w:rsidRPr="007468E8">
              <w:rPr>
                <w:rFonts w:asciiTheme="minorHAnsi" w:eastAsiaTheme="minorHAnsi" w:hAnsiTheme="minorHAnsi" w:cstheme="minorHAnsi"/>
                <w:sz w:val="20"/>
                <w:szCs w:val="20"/>
                <w:lang w:eastAsia="en-US"/>
              </w:rPr>
              <w:t>G</w:t>
            </w:r>
            <w:r>
              <w:rPr>
                <w:rFonts w:asciiTheme="minorHAnsi" w:eastAsiaTheme="minorHAnsi" w:hAnsiTheme="minorHAnsi" w:cstheme="minorHAnsi"/>
                <w:sz w:val="20"/>
                <w:szCs w:val="20"/>
                <w:lang w:eastAsia="en-US"/>
              </w:rPr>
              <w:t xml:space="preserve">eneración per cápita (GPC) </w:t>
            </w:r>
            <w:r w:rsidRPr="007468E8">
              <w:rPr>
                <w:rFonts w:asciiTheme="minorHAnsi" w:eastAsiaTheme="minorHAnsi" w:hAnsiTheme="minorHAnsi" w:cstheme="minorHAnsi"/>
                <w:sz w:val="20"/>
                <w:szCs w:val="20"/>
                <w:lang w:eastAsia="en-US"/>
              </w:rPr>
              <w:t>de residuos sólidos domiciliarios (kg/hab./día)</w:t>
            </w:r>
          </w:p>
          <w:p w14:paraId="5178F3B9" w14:textId="77777777" w:rsidR="00D07533" w:rsidRDefault="00D07533" w:rsidP="00D07533">
            <w:pPr>
              <w:pStyle w:val="Prrafodelista"/>
              <w:numPr>
                <w:ilvl w:val="0"/>
                <w:numId w:val="6"/>
              </w:numPr>
              <w:rPr>
                <w:rFonts w:asciiTheme="minorHAnsi" w:eastAsiaTheme="minorHAnsi" w:hAnsiTheme="minorHAnsi" w:cstheme="minorHAnsi"/>
                <w:sz w:val="20"/>
                <w:szCs w:val="20"/>
                <w:lang w:eastAsia="en-US"/>
              </w:rPr>
            </w:pPr>
            <w:r w:rsidRPr="007468E8">
              <w:rPr>
                <w:rFonts w:asciiTheme="minorHAnsi" w:eastAsiaTheme="minorHAnsi" w:hAnsiTheme="minorHAnsi" w:cstheme="minorHAnsi"/>
                <w:sz w:val="20"/>
                <w:szCs w:val="20"/>
                <w:lang w:eastAsia="en-US"/>
              </w:rPr>
              <w:t xml:space="preserve">Cantidad de </w:t>
            </w:r>
            <w:r>
              <w:rPr>
                <w:rFonts w:asciiTheme="minorHAnsi" w:eastAsiaTheme="minorHAnsi" w:hAnsiTheme="minorHAnsi" w:cstheme="minorHAnsi"/>
                <w:sz w:val="20"/>
                <w:szCs w:val="20"/>
                <w:lang w:eastAsia="en-US"/>
              </w:rPr>
              <w:t>p</w:t>
            </w:r>
            <w:r w:rsidRPr="007468E8">
              <w:rPr>
                <w:rFonts w:asciiTheme="minorHAnsi" w:eastAsiaTheme="minorHAnsi" w:hAnsiTheme="minorHAnsi" w:cstheme="minorHAnsi"/>
                <w:sz w:val="20"/>
                <w:szCs w:val="20"/>
                <w:lang w:eastAsia="en-US"/>
              </w:rPr>
              <w:t>oblación urbana</w:t>
            </w:r>
            <w:r>
              <w:rPr>
                <w:rFonts w:asciiTheme="minorHAnsi" w:eastAsiaTheme="minorHAnsi" w:hAnsiTheme="minorHAnsi" w:cstheme="minorHAnsi"/>
                <w:sz w:val="20"/>
                <w:szCs w:val="20"/>
                <w:lang w:eastAsia="en-US"/>
              </w:rPr>
              <w:t xml:space="preserve"> distrital</w:t>
            </w:r>
          </w:p>
          <w:p w14:paraId="0C1E461F" w14:textId="0074C23F" w:rsidR="00037BC5" w:rsidRDefault="00037BC5" w:rsidP="00426200">
            <w:pPr>
              <w:jc w:val="both"/>
              <w:rPr>
                <w:rFonts w:cstheme="minorHAnsi"/>
                <w:sz w:val="20"/>
                <w:szCs w:val="20"/>
              </w:rPr>
            </w:pPr>
          </w:p>
          <w:p w14:paraId="1A4C9A18" w14:textId="0F60AC05" w:rsidR="00037BC5" w:rsidRDefault="00037BC5" w:rsidP="00426200">
            <w:pPr>
              <w:jc w:val="both"/>
              <w:rPr>
                <w:rFonts w:cstheme="minorHAnsi"/>
                <w:sz w:val="20"/>
                <w:szCs w:val="20"/>
              </w:rPr>
            </w:pPr>
            <w:r w:rsidRPr="00037BC5">
              <w:rPr>
                <w:rFonts w:cstheme="minorHAnsi"/>
                <w:sz w:val="20"/>
                <w:szCs w:val="20"/>
              </w:rPr>
              <w:t>Se estandarizó metodología para cálculo de generación de residuos domiciliario a nivel nacional.</w:t>
            </w:r>
          </w:p>
          <w:p w14:paraId="0AB4083F" w14:textId="37AD16DA" w:rsidR="00037BC5" w:rsidRDefault="00037BC5" w:rsidP="00426200">
            <w:pPr>
              <w:jc w:val="both"/>
              <w:rPr>
                <w:rFonts w:cstheme="minorHAnsi"/>
                <w:sz w:val="20"/>
                <w:szCs w:val="20"/>
              </w:rPr>
            </w:pPr>
          </w:p>
          <w:p w14:paraId="06528B5B" w14:textId="56D240D8" w:rsidR="00037BC5" w:rsidRDefault="00037BC5" w:rsidP="00426200">
            <w:pPr>
              <w:jc w:val="both"/>
              <w:rPr>
                <w:rFonts w:cstheme="minorHAnsi"/>
                <w:sz w:val="20"/>
                <w:szCs w:val="20"/>
              </w:rPr>
            </w:pPr>
            <w:r w:rsidRPr="00037BC5">
              <w:rPr>
                <w:rFonts w:cstheme="minorHAnsi"/>
                <w:sz w:val="20"/>
                <w:szCs w:val="20"/>
              </w:rPr>
              <w:t xml:space="preserve">Se debe precisar que en el caso de la información </w:t>
            </w:r>
            <w:r w:rsidR="00D07533">
              <w:rPr>
                <w:rFonts w:cstheme="minorHAnsi"/>
                <w:sz w:val="20"/>
                <w:szCs w:val="20"/>
              </w:rPr>
              <w:t xml:space="preserve">de generados de residuos domiciliarios </w:t>
            </w:r>
            <w:r w:rsidRPr="00037BC5">
              <w:rPr>
                <w:rFonts w:cstheme="minorHAnsi"/>
                <w:sz w:val="20"/>
                <w:szCs w:val="20"/>
              </w:rPr>
              <w:t xml:space="preserve">correspondiente a los distritos del Callao para el año 2014 </w:t>
            </w:r>
            <w:r w:rsidR="00FA2E48">
              <w:rPr>
                <w:rFonts w:cstheme="minorHAnsi"/>
                <w:sz w:val="20"/>
                <w:szCs w:val="20"/>
              </w:rPr>
              <w:t>y</w:t>
            </w:r>
            <w:r w:rsidRPr="00037BC5">
              <w:rPr>
                <w:rFonts w:cstheme="minorHAnsi"/>
                <w:sz w:val="20"/>
                <w:szCs w:val="20"/>
              </w:rPr>
              <w:t xml:space="preserve"> 2016, la Municipalidad provincial del Callao remitió la información recogida en el campo para todos sus distritos, motivo por el cual no se aplicó la metodología que viene aplicando el MINAM para construir esta estadística.</w:t>
            </w:r>
          </w:p>
          <w:p w14:paraId="779D04A0" w14:textId="77777777" w:rsidR="00037BC5" w:rsidRDefault="00037BC5" w:rsidP="00426200">
            <w:pPr>
              <w:jc w:val="both"/>
              <w:rPr>
                <w:rFonts w:cstheme="minorHAnsi"/>
                <w:sz w:val="20"/>
                <w:szCs w:val="20"/>
              </w:rPr>
            </w:pPr>
          </w:p>
          <w:p w14:paraId="2E1E416C" w14:textId="70C0441D" w:rsidR="00426200" w:rsidRDefault="00D07533" w:rsidP="00AA5764">
            <w:pPr>
              <w:jc w:val="both"/>
              <w:rPr>
                <w:rFonts w:cstheme="minorHAnsi"/>
                <w:sz w:val="20"/>
                <w:szCs w:val="20"/>
              </w:rPr>
            </w:pPr>
            <w:r>
              <w:rPr>
                <w:rFonts w:cstheme="minorHAnsi"/>
                <w:sz w:val="20"/>
                <w:szCs w:val="20"/>
              </w:rPr>
              <w:t xml:space="preserve">- La </w:t>
            </w:r>
            <w:r w:rsidRPr="00D07533">
              <w:rPr>
                <w:rFonts w:cstheme="minorHAnsi"/>
                <w:sz w:val="20"/>
                <w:szCs w:val="20"/>
              </w:rPr>
              <w:t xml:space="preserve">cantidad de residuos </w:t>
            </w:r>
            <w:r>
              <w:rPr>
                <w:rFonts w:cstheme="minorHAnsi"/>
                <w:sz w:val="20"/>
                <w:szCs w:val="20"/>
              </w:rPr>
              <w:t xml:space="preserve">no domiciliarios </w:t>
            </w:r>
            <w:r w:rsidRPr="00D07533">
              <w:rPr>
                <w:rFonts w:cstheme="minorHAnsi"/>
                <w:sz w:val="20"/>
                <w:szCs w:val="20"/>
              </w:rPr>
              <w:t>generados anualmente por las actividades económicas e institucionales y de barrido y limpieza de espacios públicos, a nivel distrital.  La unidad de medida es en toneladas.</w:t>
            </w:r>
          </w:p>
          <w:p w14:paraId="204CF061" w14:textId="42AE775B" w:rsidR="00D07533" w:rsidRDefault="00D07533" w:rsidP="00AA5764">
            <w:pPr>
              <w:jc w:val="both"/>
              <w:rPr>
                <w:rFonts w:cstheme="minorHAnsi"/>
                <w:sz w:val="20"/>
                <w:szCs w:val="20"/>
              </w:rPr>
            </w:pPr>
          </w:p>
          <w:p w14:paraId="3A25A7CA" w14:textId="066909D9" w:rsidR="00D07533" w:rsidRDefault="00D07533" w:rsidP="00AA5764">
            <w:pPr>
              <w:jc w:val="both"/>
              <w:rPr>
                <w:rFonts w:cstheme="minorHAnsi"/>
                <w:sz w:val="20"/>
                <w:szCs w:val="20"/>
              </w:rPr>
            </w:pPr>
            <w:r w:rsidRPr="00D07533">
              <w:rPr>
                <w:rFonts w:cstheme="minorHAnsi"/>
                <w:sz w:val="20"/>
                <w:szCs w:val="20"/>
              </w:rPr>
              <w:t>Los residuos sólidos no domiciliarios son aquellos provenientes del consumo o uso de un bien o servicio, que comprenden específicamente como fuente de generación los establecimientos comerciales, restaurantes, hoteles, mercados, instituciones públicas y privadas, instituciones educativas y el servicio de barrido y limpieza de espacios públicos.</w:t>
            </w:r>
          </w:p>
          <w:p w14:paraId="06AB6ABB" w14:textId="792A3171" w:rsidR="00D07533" w:rsidRDefault="00D07533" w:rsidP="00AA5764">
            <w:pPr>
              <w:jc w:val="both"/>
              <w:rPr>
                <w:rFonts w:cstheme="minorHAnsi"/>
                <w:sz w:val="20"/>
                <w:szCs w:val="20"/>
              </w:rPr>
            </w:pPr>
          </w:p>
          <w:p w14:paraId="61040875" w14:textId="2BAD57F7" w:rsidR="00D07533" w:rsidRDefault="00D07533" w:rsidP="00AA5764">
            <w:pPr>
              <w:jc w:val="both"/>
              <w:rPr>
                <w:rFonts w:cstheme="minorHAnsi"/>
                <w:sz w:val="20"/>
                <w:szCs w:val="20"/>
              </w:rPr>
            </w:pPr>
            <w:r>
              <w:rPr>
                <w:rFonts w:cstheme="minorHAnsi"/>
                <w:sz w:val="20"/>
                <w:szCs w:val="20"/>
              </w:rPr>
              <w:t>-</w:t>
            </w:r>
            <w:r w:rsidRPr="00AC7365">
              <w:rPr>
                <w:rFonts w:cstheme="minorHAnsi"/>
                <w:sz w:val="20"/>
                <w:szCs w:val="20"/>
              </w:rPr>
              <w:t xml:space="preserve"> </w:t>
            </w:r>
            <w:r>
              <w:rPr>
                <w:rFonts w:cstheme="minorHAnsi"/>
                <w:sz w:val="20"/>
                <w:szCs w:val="20"/>
              </w:rPr>
              <w:t xml:space="preserve">La </w:t>
            </w:r>
            <w:r w:rsidRPr="00AC7365">
              <w:rPr>
                <w:rFonts w:cstheme="minorHAnsi"/>
                <w:sz w:val="20"/>
                <w:szCs w:val="20"/>
              </w:rPr>
              <w:t>cantidad de residuos sólidos municipales que tienen como destino final una infraestructura de disposición final de residuos sólidos debidamente autorizada. La unidad de medida es en toneladas</w:t>
            </w:r>
            <w:r>
              <w:rPr>
                <w:rFonts w:cstheme="minorHAnsi"/>
                <w:sz w:val="20"/>
                <w:szCs w:val="20"/>
              </w:rPr>
              <w:t xml:space="preserve">. </w:t>
            </w:r>
            <w:r w:rsidRPr="00D07533">
              <w:rPr>
                <w:rFonts w:cstheme="minorHAnsi"/>
                <w:sz w:val="20"/>
                <w:szCs w:val="20"/>
              </w:rPr>
              <w:t>Esta estadística es construida a partir de la sumatoria de la generación de residuos domiciliarios y la generación de los residuos no domiciliarios.</w:t>
            </w:r>
          </w:p>
          <w:p w14:paraId="4789F3F8" w14:textId="12613DE6" w:rsidR="00D07533" w:rsidRDefault="00D07533" w:rsidP="00AA5764">
            <w:pPr>
              <w:jc w:val="both"/>
              <w:rPr>
                <w:rFonts w:cstheme="minorHAnsi"/>
                <w:sz w:val="20"/>
                <w:szCs w:val="20"/>
              </w:rPr>
            </w:pPr>
          </w:p>
          <w:p w14:paraId="035E6C23" w14:textId="4A56445C" w:rsidR="00D07533" w:rsidRDefault="00D07533" w:rsidP="00AA5764">
            <w:pPr>
              <w:jc w:val="both"/>
              <w:rPr>
                <w:rFonts w:cstheme="minorHAnsi"/>
                <w:sz w:val="20"/>
                <w:szCs w:val="20"/>
              </w:rPr>
            </w:pPr>
            <w:r w:rsidRPr="00D07533">
              <w:rPr>
                <w:rFonts w:cstheme="minorHAnsi"/>
                <w:sz w:val="20"/>
                <w:szCs w:val="20"/>
              </w:rPr>
              <w:t>Se debe precisar que la generación de los residuos domiciliarios según las estimaciones del Centro Panamericano de Ingeniería Sanitaria y Ciencias del Ambiente (CEPIS) corresponden al 70% del total de los residuos sólidos municipales y la generación de los residuos no domiciliarios corresponde al 30% de los residuos municipales.</w:t>
            </w:r>
          </w:p>
          <w:p w14:paraId="6A8969FE" w14:textId="77777777" w:rsidR="00D07533" w:rsidRDefault="00D07533" w:rsidP="00AA5764">
            <w:pPr>
              <w:jc w:val="both"/>
              <w:rPr>
                <w:rFonts w:cstheme="minorHAnsi"/>
                <w:sz w:val="20"/>
                <w:szCs w:val="20"/>
              </w:rPr>
            </w:pPr>
          </w:p>
          <w:p w14:paraId="070DFA60" w14:textId="2D79BEDC" w:rsidR="00D07533" w:rsidRDefault="00D07533" w:rsidP="00AA5764">
            <w:pPr>
              <w:jc w:val="both"/>
              <w:rPr>
                <w:rFonts w:cstheme="minorHAnsi"/>
                <w:sz w:val="20"/>
                <w:szCs w:val="20"/>
              </w:rPr>
            </w:pPr>
            <w:r w:rsidRPr="00D07533">
              <w:rPr>
                <w:rFonts w:cstheme="minorHAnsi"/>
                <w:sz w:val="20"/>
                <w:szCs w:val="20"/>
              </w:rPr>
              <w:t xml:space="preserve">Se debe precisar que la generación de los residuos domiciliarios según las estimaciones del Centro Panamericano de Ingeniería Sanitaria y Ciencias del Ambiente (CEPIS) corresponden al 70% del total de los residuos sólidos </w:t>
            </w:r>
            <w:r w:rsidRPr="00D07533">
              <w:rPr>
                <w:rFonts w:cstheme="minorHAnsi"/>
                <w:sz w:val="20"/>
                <w:szCs w:val="20"/>
              </w:rPr>
              <w:lastRenderedPageBreak/>
              <w:t>municipales y la generación de los residuos no domiciliarios corresponde al 30% de los residuos municipales.</w:t>
            </w:r>
          </w:p>
          <w:p w14:paraId="177503E6" w14:textId="3E9C71D8" w:rsidR="002E47A9" w:rsidRPr="007468E8" w:rsidRDefault="002E47A9" w:rsidP="00504D0A">
            <w:pPr>
              <w:rPr>
                <w:rFonts w:cstheme="minorHAnsi"/>
                <w:sz w:val="20"/>
                <w:szCs w:val="20"/>
              </w:rPr>
            </w:pPr>
          </w:p>
          <w:p w14:paraId="1768E929" w14:textId="34145E58" w:rsidR="00CD25C2" w:rsidRPr="007468E8" w:rsidRDefault="00037BC5" w:rsidP="00D07533">
            <w:pPr>
              <w:jc w:val="both"/>
              <w:rPr>
                <w:rFonts w:cstheme="minorHAnsi"/>
                <w:sz w:val="20"/>
                <w:szCs w:val="20"/>
              </w:rPr>
            </w:pPr>
            <w:r w:rsidRPr="00037BC5">
              <w:rPr>
                <w:rFonts w:cstheme="minorHAnsi"/>
                <w:sz w:val="20"/>
                <w:szCs w:val="20"/>
              </w:rPr>
              <w:t xml:space="preserve">La información que se toma de insumo para la estimación de </w:t>
            </w:r>
            <w:r w:rsidR="00D07533">
              <w:rPr>
                <w:rFonts w:cstheme="minorHAnsi"/>
                <w:sz w:val="20"/>
                <w:szCs w:val="20"/>
              </w:rPr>
              <w:t>estas estadísticas</w:t>
            </w:r>
            <w:r w:rsidRPr="00037BC5">
              <w:rPr>
                <w:rFonts w:cstheme="minorHAnsi"/>
                <w:sz w:val="20"/>
                <w:szCs w:val="20"/>
              </w:rPr>
              <w:t xml:space="preserve"> es obtenida a partir de los reportes de información sobre la gestión de los residuos sólidos que realizan anualmente las municipalidades provinciales y distritales en el Sistema de Información para la Gestión de los Residuos Sólidos – SIGERSOL del ámbito municipal, el cual es administrado por el Ministerio del Ambiente.</w:t>
            </w:r>
          </w:p>
        </w:tc>
      </w:tr>
      <w:tr w:rsidR="00504D0A" w:rsidRPr="007468E8" w14:paraId="283C9B4F" w14:textId="77777777" w:rsidTr="00504D0A">
        <w:tc>
          <w:tcPr>
            <w:tcW w:w="2972" w:type="dxa"/>
            <w:vAlign w:val="center"/>
          </w:tcPr>
          <w:p w14:paraId="51D63ABD" w14:textId="5D977796" w:rsidR="00504D0A" w:rsidRPr="007468E8" w:rsidRDefault="00504D0A" w:rsidP="00504D0A">
            <w:pPr>
              <w:rPr>
                <w:rFonts w:cstheme="minorHAnsi"/>
                <w:sz w:val="20"/>
                <w:szCs w:val="20"/>
              </w:rPr>
            </w:pPr>
            <w:r w:rsidRPr="007468E8">
              <w:rPr>
                <w:rFonts w:cstheme="minorHAnsi"/>
                <w:b/>
                <w:bCs/>
                <w:color w:val="000000" w:themeColor="text1"/>
                <w:kern w:val="24"/>
                <w:sz w:val="20"/>
                <w:szCs w:val="20"/>
                <w:lang w:val="es-MX"/>
              </w:rPr>
              <w:lastRenderedPageBreak/>
              <w:t>Entidad</w:t>
            </w:r>
          </w:p>
        </w:tc>
        <w:tc>
          <w:tcPr>
            <w:tcW w:w="7484" w:type="dxa"/>
          </w:tcPr>
          <w:p w14:paraId="391CFDAD" w14:textId="2B4841A6" w:rsidR="00504D0A" w:rsidRPr="007468E8" w:rsidRDefault="00F063B5" w:rsidP="00504D0A">
            <w:pPr>
              <w:rPr>
                <w:rFonts w:cstheme="minorHAnsi"/>
                <w:sz w:val="20"/>
                <w:szCs w:val="20"/>
              </w:rPr>
            </w:pPr>
            <w:r w:rsidRPr="007468E8">
              <w:rPr>
                <w:rFonts w:cstheme="minorHAnsi"/>
                <w:sz w:val="20"/>
                <w:szCs w:val="20"/>
              </w:rPr>
              <w:t xml:space="preserve">Ministerio del Ambiente </w:t>
            </w:r>
            <w:r w:rsidR="00F17925">
              <w:rPr>
                <w:rFonts w:cstheme="minorHAnsi"/>
                <w:sz w:val="20"/>
                <w:szCs w:val="20"/>
              </w:rPr>
              <w:t>–</w:t>
            </w:r>
            <w:r w:rsidRPr="007468E8">
              <w:rPr>
                <w:rFonts w:cstheme="minorHAnsi"/>
                <w:sz w:val="20"/>
                <w:szCs w:val="20"/>
              </w:rPr>
              <w:t xml:space="preserve"> MINAM</w:t>
            </w:r>
          </w:p>
        </w:tc>
      </w:tr>
      <w:tr w:rsidR="00504D0A" w:rsidRPr="007468E8" w14:paraId="1598F2E3" w14:textId="77777777" w:rsidTr="00504D0A">
        <w:tc>
          <w:tcPr>
            <w:tcW w:w="2972" w:type="dxa"/>
            <w:vAlign w:val="center"/>
          </w:tcPr>
          <w:p w14:paraId="4723B4D8" w14:textId="16D3A583" w:rsidR="00504D0A" w:rsidRPr="007468E8" w:rsidRDefault="00504D0A" w:rsidP="00504D0A">
            <w:pPr>
              <w:rPr>
                <w:rFonts w:cstheme="minorHAnsi"/>
                <w:sz w:val="20"/>
                <w:szCs w:val="20"/>
              </w:rPr>
            </w:pPr>
            <w:r w:rsidRPr="007468E8">
              <w:rPr>
                <w:rFonts w:cstheme="minorHAnsi"/>
                <w:b/>
                <w:bCs/>
                <w:color w:val="000000" w:themeColor="text1"/>
                <w:kern w:val="24"/>
                <w:sz w:val="20"/>
                <w:szCs w:val="20"/>
                <w:lang w:val="es-MX"/>
              </w:rPr>
              <w:t>Fuente</w:t>
            </w:r>
          </w:p>
        </w:tc>
        <w:tc>
          <w:tcPr>
            <w:tcW w:w="7484" w:type="dxa"/>
          </w:tcPr>
          <w:p w14:paraId="14AEEBCE" w14:textId="2CDFD966" w:rsidR="00504D0A" w:rsidRPr="007468E8" w:rsidRDefault="00846AC7" w:rsidP="00504D0A">
            <w:pPr>
              <w:rPr>
                <w:rFonts w:cstheme="minorHAnsi"/>
                <w:sz w:val="20"/>
                <w:szCs w:val="20"/>
              </w:rPr>
            </w:pPr>
            <w:r w:rsidRPr="007468E8">
              <w:rPr>
                <w:rFonts w:cstheme="minorHAnsi"/>
                <w:sz w:val="20"/>
                <w:szCs w:val="20"/>
              </w:rPr>
              <w:t>Dirección de Instrumentos de Gestión de Residuos Sólidos</w:t>
            </w:r>
            <w:r w:rsidR="004E4DA4" w:rsidRPr="007468E8">
              <w:rPr>
                <w:rFonts w:cstheme="minorHAnsi"/>
                <w:sz w:val="20"/>
                <w:szCs w:val="20"/>
              </w:rPr>
              <w:t xml:space="preserve"> de la Dirección General de </w:t>
            </w:r>
            <w:r w:rsidR="00881CC6" w:rsidRPr="007468E8">
              <w:rPr>
                <w:rFonts w:cstheme="minorHAnsi"/>
                <w:sz w:val="20"/>
                <w:szCs w:val="20"/>
              </w:rPr>
              <w:t xml:space="preserve">Gestión de </w:t>
            </w:r>
            <w:r w:rsidR="004E4DA4" w:rsidRPr="007468E8">
              <w:rPr>
                <w:rFonts w:cstheme="minorHAnsi"/>
                <w:sz w:val="20"/>
                <w:szCs w:val="20"/>
              </w:rPr>
              <w:t>Residuos Sólidos</w:t>
            </w:r>
          </w:p>
        </w:tc>
      </w:tr>
      <w:tr w:rsidR="00504D0A" w:rsidRPr="007468E8" w14:paraId="28E3066C" w14:textId="77777777" w:rsidTr="00504D0A">
        <w:tc>
          <w:tcPr>
            <w:tcW w:w="2972" w:type="dxa"/>
            <w:vAlign w:val="center"/>
          </w:tcPr>
          <w:p w14:paraId="316C6F46" w14:textId="50815B45" w:rsidR="00504D0A" w:rsidRPr="007468E8" w:rsidRDefault="00504D0A" w:rsidP="00504D0A">
            <w:pPr>
              <w:rPr>
                <w:rFonts w:cstheme="minorHAnsi"/>
                <w:sz w:val="20"/>
                <w:szCs w:val="20"/>
              </w:rPr>
            </w:pPr>
            <w:r w:rsidRPr="007468E8">
              <w:rPr>
                <w:rFonts w:cstheme="minorHAnsi"/>
                <w:b/>
                <w:bCs/>
                <w:color w:val="000000" w:themeColor="text1"/>
                <w:kern w:val="24"/>
                <w:sz w:val="20"/>
                <w:szCs w:val="20"/>
              </w:rPr>
              <w:t>Etiquetas</w:t>
            </w:r>
          </w:p>
        </w:tc>
        <w:tc>
          <w:tcPr>
            <w:tcW w:w="7484" w:type="dxa"/>
          </w:tcPr>
          <w:p w14:paraId="5B88C464" w14:textId="70F608D3" w:rsidR="00504D0A" w:rsidRPr="007468E8" w:rsidRDefault="00F063B5" w:rsidP="00504D0A">
            <w:pPr>
              <w:rPr>
                <w:rFonts w:cstheme="minorHAnsi"/>
                <w:sz w:val="20"/>
                <w:szCs w:val="20"/>
              </w:rPr>
            </w:pPr>
            <w:r w:rsidRPr="007468E8">
              <w:rPr>
                <w:rFonts w:cstheme="minorHAnsi"/>
                <w:sz w:val="20"/>
                <w:szCs w:val="20"/>
              </w:rPr>
              <w:t>Residuos</w:t>
            </w:r>
            <w:r w:rsidR="00846AC7" w:rsidRPr="007468E8">
              <w:rPr>
                <w:rFonts w:cstheme="minorHAnsi"/>
                <w:sz w:val="20"/>
                <w:szCs w:val="20"/>
              </w:rPr>
              <w:t>, domicilios</w:t>
            </w:r>
            <w:r w:rsidR="00AA5764">
              <w:rPr>
                <w:rFonts w:cstheme="minorHAnsi"/>
                <w:sz w:val="20"/>
                <w:szCs w:val="20"/>
              </w:rPr>
              <w:t>, municipal</w:t>
            </w:r>
          </w:p>
        </w:tc>
      </w:tr>
      <w:tr w:rsidR="00504D0A" w:rsidRPr="007468E8" w14:paraId="43175C4D" w14:textId="77777777" w:rsidTr="00504D0A">
        <w:tc>
          <w:tcPr>
            <w:tcW w:w="2972" w:type="dxa"/>
            <w:vAlign w:val="center"/>
          </w:tcPr>
          <w:p w14:paraId="12BAD6F9" w14:textId="0D974740" w:rsidR="00504D0A" w:rsidRPr="007468E8" w:rsidRDefault="00504D0A" w:rsidP="00504D0A">
            <w:pPr>
              <w:rPr>
                <w:rFonts w:cstheme="minorHAnsi"/>
                <w:sz w:val="20"/>
                <w:szCs w:val="20"/>
              </w:rPr>
            </w:pPr>
            <w:r w:rsidRPr="007468E8">
              <w:rPr>
                <w:rFonts w:cstheme="minorHAnsi"/>
                <w:b/>
                <w:bCs/>
                <w:color w:val="000000" w:themeColor="text1"/>
                <w:kern w:val="24"/>
                <w:sz w:val="20"/>
                <w:szCs w:val="20"/>
                <w:lang w:val="es-MX"/>
              </w:rPr>
              <w:t>Fecha de creación</w:t>
            </w:r>
          </w:p>
        </w:tc>
        <w:tc>
          <w:tcPr>
            <w:tcW w:w="7484" w:type="dxa"/>
          </w:tcPr>
          <w:p w14:paraId="71ED991A" w14:textId="066D32C4" w:rsidR="00504D0A" w:rsidRPr="007468E8" w:rsidRDefault="00FC3319" w:rsidP="00504D0A">
            <w:pPr>
              <w:rPr>
                <w:rFonts w:cstheme="minorHAnsi"/>
                <w:sz w:val="20"/>
                <w:szCs w:val="20"/>
              </w:rPr>
            </w:pPr>
            <w:r>
              <w:rPr>
                <w:rFonts w:cstheme="minorHAnsi"/>
                <w:sz w:val="20"/>
                <w:szCs w:val="20"/>
              </w:rPr>
              <w:t>2023-</w:t>
            </w:r>
            <w:r w:rsidR="00BD121F">
              <w:rPr>
                <w:rFonts w:cstheme="minorHAnsi"/>
                <w:sz w:val="20"/>
                <w:szCs w:val="20"/>
              </w:rPr>
              <w:t>06-14</w:t>
            </w:r>
          </w:p>
        </w:tc>
      </w:tr>
      <w:tr w:rsidR="00504D0A" w:rsidRPr="007468E8" w14:paraId="011842A8" w14:textId="77777777" w:rsidTr="00504D0A">
        <w:tc>
          <w:tcPr>
            <w:tcW w:w="2972" w:type="dxa"/>
            <w:vAlign w:val="center"/>
          </w:tcPr>
          <w:p w14:paraId="35EB519A" w14:textId="7F952C47" w:rsidR="00504D0A" w:rsidRPr="007468E8" w:rsidRDefault="00504D0A" w:rsidP="00504D0A">
            <w:pPr>
              <w:rPr>
                <w:rFonts w:cstheme="minorHAnsi"/>
                <w:sz w:val="20"/>
                <w:szCs w:val="20"/>
              </w:rPr>
            </w:pPr>
            <w:r w:rsidRPr="007468E8">
              <w:rPr>
                <w:rFonts w:cstheme="minorHAnsi"/>
                <w:b/>
                <w:bCs/>
                <w:color w:val="000000" w:themeColor="text1"/>
                <w:kern w:val="24"/>
                <w:sz w:val="20"/>
                <w:szCs w:val="20"/>
                <w:lang w:val="es-MX"/>
              </w:rPr>
              <w:t>Frecuencia de actualización</w:t>
            </w:r>
          </w:p>
        </w:tc>
        <w:tc>
          <w:tcPr>
            <w:tcW w:w="7484" w:type="dxa"/>
          </w:tcPr>
          <w:p w14:paraId="234AA13C" w14:textId="0B20CA5A" w:rsidR="00504D0A" w:rsidRPr="007468E8" w:rsidRDefault="00846AC7" w:rsidP="00504D0A">
            <w:pPr>
              <w:rPr>
                <w:rFonts w:cstheme="minorHAnsi"/>
                <w:sz w:val="20"/>
                <w:szCs w:val="20"/>
              </w:rPr>
            </w:pPr>
            <w:r w:rsidRPr="007468E8">
              <w:rPr>
                <w:rFonts w:cstheme="minorHAnsi"/>
                <w:sz w:val="20"/>
                <w:szCs w:val="20"/>
              </w:rPr>
              <w:t>Anual</w:t>
            </w:r>
          </w:p>
        </w:tc>
      </w:tr>
      <w:tr w:rsidR="00CD25C2" w:rsidRPr="007468E8" w14:paraId="2C94159F" w14:textId="77777777" w:rsidTr="007468E8">
        <w:trPr>
          <w:trHeight w:val="208"/>
        </w:trPr>
        <w:tc>
          <w:tcPr>
            <w:tcW w:w="2972" w:type="dxa"/>
            <w:vAlign w:val="center"/>
          </w:tcPr>
          <w:p w14:paraId="4C1DE0E1" w14:textId="18D08B51" w:rsidR="00CD25C2" w:rsidRPr="007468E8" w:rsidRDefault="00CD25C2" w:rsidP="00CD25C2">
            <w:pPr>
              <w:rPr>
                <w:rFonts w:cstheme="minorHAnsi"/>
                <w:sz w:val="20"/>
                <w:szCs w:val="20"/>
              </w:rPr>
            </w:pPr>
            <w:r w:rsidRPr="007468E8">
              <w:rPr>
                <w:rFonts w:cstheme="minorHAnsi"/>
                <w:b/>
                <w:bCs/>
                <w:color w:val="000000" w:themeColor="text1"/>
                <w:kern w:val="24"/>
                <w:sz w:val="20"/>
                <w:szCs w:val="20"/>
                <w:lang w:val="es-MX"/>
              </w:rPr>
              <w:t>Última actualización</w:t>
            </w:r>
          </w:p>
        </w:tc>
        <w:tc>
          <w:tcPr>
            <w:tcW w:w="7484" w:type="dxa"/>
            <w:vAlign w:val="center"/>
          </w:tcPr>
          <w:p w14:paraId="1B051219" w14:textId="4A0E609D" w:rsidR="003560AB" w:rsidRPr="007468E8" w:rsidRDefault="00BD121F" w:rsidP="00CD25C2">
            <w:pPr>
              <w:rPr>
                <w:rFonts w:cstheme="minorHAnsi"/>
                <w:color w:val="000000" w:themeColor="text1"/>
                <w:kern w:val="24"/>
                <w:sz w:val="20"/>
                <w:szCs w:val="20"/>
              </w:rPr>
            </w:pPr>
            <w:r>
              <w:rPr>
                <w:rFonts w:cstheme="minorHAnsi"/>
                <w:sz w:val="20"/>
                <w:szCs w:val="20"/>
              </w:rPr>
              <w:t>2023-06-14</w:t>
            </w:r>
          </w:p>
        </w:tc>
      </w:tr>
      <w:tr w:rsidR="00CD25C2" w:rsidRPr="007468E8" w14:paraId="3F74AE2E" w14:textId="77777777" w:rsidTr="00832C3C">
        <w:tc>
          <w:tcPr>
            <w:tcW w:w="2972" w:type="dxa"/>
            <w:vAlign w:val="center"/>
          </w:tcPr>
          <w:p w14:paraId="59316C5D" w14:textId="137D6F15" w:rsidR="00CD25C2" w:rsidRPr="007468E8" w:rsidRDefault="00CD25C2" w:rsidP="00CD25C2">
            <w:pPr>
              <w:rPr>
                <w:rFonts w:cstheme="minorHAnsi"/>
                <w:sz w:val="20"/>
                <w:szCs w:val="20"/>
              </w:rPr>
            </w:pPr>
            <w:r w:rsidRPr="007468E8">
              <w:rPr>
                <w:rFonts w:cstheme="minorHAnsi"/>
                <w:b/>
                <w:bCs/>
                <w:color w:val="000000" w:themeColor="text1"/>
                <w:kern w:val="24"/>
                <w:sz w:val="20"/>
                <w:szCs w:val="20"/>
                <w:lang w:val="es-MX"/>
              </w:rPr>
              <w:t>Versión</w:t>
            </w:r>
          </w:p>
        </w:tc>
        <w:tc>
          <w:tcPr>
            <w:tcW w:w="7484" w:type="dxa"/>
            <w:vAlign w:val="center"/>
          </w:tcPr>
          <w:p w14:paraId="682DC893" w14:textId="149FEEC6" w:rsidR="00CD25C2" w:rsidRPr="007468E8" w:rsidRDefault="00FC3319" w:rsidP="00CD25C2">
            <w:pPr>
              <w:rPr>
                <w:rFonts w:cstheme="minorHAnsi"/>
                <w:sz w:val="20"/>
                <w:szCs w:val="20"/>
              </w:rPr>
            </w:pPr>
            <w:r>
              <w:rPr>
                <w:rFonts w:cstheme="minorHAnsi"/>
                <w:sz w:val="20"/>
                <w:szCs w:val="20"/>
              </w:rPr>
              <w:t>1</w:t>
            </w:r>
            <w:r w:rsidR="00846AC7" w:rsidRPr="007468E8">
              <w:rPr>
                <w:rFonts w:cstheme="minorHAnsi"/>
                <w:sz w:val="20"/>
                <w:szCs w:val="20"/>
              </w:rPr>
              <w:t xml:space="preserve">.0 </w:t>
            </w:r>
          </w:p>
        </w:tc>
      </w:tr>
      <w:tr w:rsidR="000D1C10" w:rsidRPr="00BD121F" w14:paraId="7EBCCDEC" w14:textId="77777777" w:rsidTr="00832C3C">
        <w:tc>
          <w:tcPr>
            <w:tcW w:w="2972" w:type="dxa"/>
            <w:vAlign w:val="center"/>
          </w:tcPr>
          <w:p w14:paraId="083F45C8" w14:textId="4E1B2523" w:rsidR="000D1C10" w:rsidRPr="007468E8" w:rsidRDefault="000D1C10" w:rsidP="000D1C10">
            <w:pPr>
              <w:rPr>
                <w:rFonts w:cstheme="minorHAnsi"/>
                <w:sz w:val="20"/>
                <w:szCs w:val="20"/>
              </w:rPr>
            </w:pPr>
            <w:r w:rsidRPr="007468E8">
              <w:rPr>
                <w:rFonts w:cstheme="minorHAnsi"/>
                <w:b/>
                <w:bCs/>
                <w:color w:val="000000" w:themeColor="text1"/>
                <w:kern w:val="24"/>
                <w:sz w:val="20"/>
                <w:szCs w:val="20"/>
                <w:lang w:val="es-MX"/>
              </w:rPr>
              <w:t>Licencia</w:t>
            </w:r>
          </w:p>
        </w:tc>
        <w:tc>
          <w:tcPr>
            <w:tcW w:w="7484" w:type="dxa"/>
            <w:vAlign w:val="center"/>
          </w:tcPr>
          <w:p w14:paraId="2A8300A7" w14:textId="56A44F11" w:rsidR="000D1C10" w:rsidRPr="00610FAA" w:rsidRDefault="00000000" w:rsidP="000D1C10">
            <w:pPr>
              <w:rPr>
                <w:rStyle w:val="Hipervnculo"/>
                <w:lang w:val="en-US"/>
              </w:rPr>
            </w:pPr>
            <w:hyperlink r:id="rId6" w:history="1">
              <w:r w:rsidR="000D1C10" w:rsidRPr="00610FAA">
                <w:rPr>
                  <w:rStyle w:val="Hipervnculo"/>
                  <w:rFonts w:cstheme="minorHAnsi"/>
                  <w:sz w:val="20"/>
                  <w:szCs w:val="20"/>
                  <w:lang w:val="en-US"/>
                </w:rPr>
                <w:t>Open Data Commons Attribution License</w:t>
              </w:r>
            </w:hyperlink>
          </w:p>
        </w:tc>
      </w:tr>
      <w:tr w:rsidR="00CD25C2" w:rsidRPr="007468E8" w14:paraId="50813B98" w14:textId="77777777" w:rsidTr="00832C3C">
        <w:tc>
          <w:tcPr>
            <w:tcW w:w="2972" w:type="dxa"/>
            <w:vAlign w:val="center"/>
          </w:tcPr>
          <w:p w14:paraId="78F51BD0" w14:textId="026C8583" w:rsidR="00CD25C2" w:rsidRPr="007468E8" w:rsidRDefault="00CD25C2" w:rsidP="00CD25C2">
            <w:pPr>
              <w:rPr>
                <w:rFonts w:cstheme="minorHAnsi"/>
                <w:sz w:val="20"/>
                <w:szCs w:val="20"/>
              </w:rPr>
            </w:pPr>
            <w:r w:rsidRPr="007468E8">
              <w:rPr>
                <w:rFonts w:cstheme="minorHAnsi"/>
                <w:b/>
                <w:bCs/>
                <w:color w:val="000000" w:themeColor="text1"/>
                <w:kern w:val="24"/>
                <w:sz w:val="20"/>
                <w:szCs w:val="20"/>
                <w:lang w:val="es-MX"/>
              </w:rPr>
              <w:t>Idioma</w:t>
            </w:r>
          </w:p>
        </w:tc>
        <w:tc>
          <w:tcPr>
            <w:tcW w:w="7484" w:type="dxa"/>
            <w:vAlign w:val="center"/>
          </w:tcPr>
          <w:p w14:paraId="00A83837" w14:textId="4C6C4345" w:rsidR="00CD25C2" w:rsidRPr="007468E8" w:rsidRDefault="00CD25C2" w:rsidP="00CD25C2">
            <w:pPr>
              <w:rPr>
                <w:rFonts w:cstheme="minorHAnsi"/>
                <w:sz w:val="20"/>
                <w:szCs w:val="20"/>
              </w:rPr>
            </w:pPr>
            <w:r w:rsidRPr="007468E8">
              <w:rPr>
                <w:rFonts w:cstheme="minorHAnsi"/>
                <w:color w:val="000000" w:themeColor="text1"/>
                <w:kern w:val="24"/>
                <w:sz w:val="20"/>
                <w:szCs w:val="20"/>
              </w:rPr>
              <w:t>Español</w:t>
            </w:r>
          </w:p>
        </w:tc>
      </w:tr>
      <w:tr w:rsidR="00CD25C2" w:rsidRPr="007468E8" w14:paraId="1117E997" w14:textId="77777777" w:rsidTr="00832C3C">
        <w:tc>
          <w:tcPr>
            <w:tcW w:w="2972" w:type="dxa"/>
            <w:vAlign w:val="center"/>
          </w:tcPr>
          <w:p w14:paraId="1CADEF4B" w14:textId="184AA53E" w:rsidR="00CD25C2" w:rsidRPr="007468E8" w:rsidRDefault="00CD25C2" w:rsidP="00CD25C2">
            <w:pPr>
              <w:rPr>
                <w:rFonts w:cstheme="minorHAnsi"/>
                <w:sz w:val="20"/>
                <w:szCs w:val="20"/>
              </w:rPr>
            </w:pPr>
            <w:r w:rsidRPr="007468E8">
              <w:rPr>
                <w:rFonts w:cstheme="minorHAnsi"/>
                <w:b/>
                <w:bCs/>
                <w:color w:val="000000" w:themeColor="text1"/>
                <w:kern w:val="24"/>
                <w:sz w:val="20"/>
                <w:szCs w:val="20"/>
                <w:lang w:val="es-MX"/>
              </w:rPr>
              <w:t>Nivel de acceso público</w:t>
            </w:r>
          </w:p>
        </w:tc>
        <w:tc>
          <w:tcPr>
            <w:tcW w:w="7484" w:type="dxa"/>
            <w:vAlign w:val="center"/>
          </w:tcPr>
          <w:p w14:paraId="64FB206D" w14:textId="705D940B" w:rsidR="00CD25C2" w:rsidRPr="007468E8" w:rsidRDefault="00CD25C2" w:rsidP="00CD25C2">
            <w:pPr>
              <w:rPr>
                <w:rFonts w:cstheme="minorHAnsi"/>
                <w:sz w:val="20"/>
                <w:szCs w:val="20"/>
              </w:rPr>
            </w:pPr>
            <w:r w:rsidRPr="007468E8">
              <w:rPr>
                <w:rFonts w:cstheme="minorHAnsi"/>
                <w:color w:val="000000" w:themeColor="text1"/>
                <w:kern w:val="24"/>
                <w:sz w:val="20"/>
                <w:szCs w:val="20"/>
              </w:rPr>
              <w:t>Público</w:t>
            </w:r>
          </w:p>
        </w:tc>
      </w:tr>
      <w:tr w:rsidR="00CD25C2" w:rsidRPr="007468E8" w14:paraId="7E0D1F8D" w14:textId="77777777" w:rsidTr="00504D0A">
        <w:tc>
          <w:tcPr>
            <w:tcW w:w="2972" w:type="dxa"/>
          </w:tcPr>
          <w:p w14:paraId="44582A03" w14:textId="175F5ABC" w:rsidR="00CD25C2" w:rsidRPr="007468E8" w:rsidRDefault="00CD25C2" w:rsidP="00CD25C2">
            <w:pPr>
              <w:rPr>
                <w:rFonts w:cstheme="minorHAnsi"/>
                <w:sz w:val="20"/>
                <w:szCs w:val="20"/>
              </w:rPr>
            </w:pPr>
            <w:r w:rsidRPr="007468E8">
              <w:rPr>
                <w:rFonts w:cstheme="minorHAnsi"/>
                <w:b/>
                <w:bCs/>
                <w:color w:val="000000" w:themeColor="text1"/>
                <w:kern w:val="24"/>
                <w:sz w:val="20"/>
                <w:szCs w:val="20"/>
                <w:lang w:val="es-MX"/>
              </w:rPr>
              <w:t>Tipo de recurso</w:t>
            </w:r>
          </w:p>
        </w:tc>
        <w:tc>
          <w:tcPr>
            <w:tcW w:w="7484" w:type="dxa"/>
          </w:tcPr>
          <w:p w14:paraId="203A77A8" w14:textId="328AECF8" w:rsidR="00CD25C2" w:rsidRPr="007468E8" w:rsidRDefault="00CD25C2" w:rsidP="00CD25C2">
            <w:pPr>
              <w:rPr>
                <w:rFonts w:cstheme="minorHAnsi"/>
                <w:sz w:val="20"/>
                <w:szCs w:val="20"/>
              </w:rPr>
            </w:pPr>
            <w:r w:rsidRPr="007468E8">
              <w:rPr>
                <w:rFonts w:cstheme="minorHAnsi"/>
                <w:sz w:val="20"/>
                <w:szCs w:val="20"/>
              </w:rPr>
              <w:t>Dataset</w:t>
            </w:r>
          </w:p>
        </w:tc>
      </w:tr>
      <w:tr w:rsidR="00CD25C2" w:rsidRPr="007468E8" w14:paraId="002B4018" w14:textId="77777777" w:rsidTr="00504D0A">
        <w:tc>
          <w:tcPr>
            <w:tcW w:w="2972" w:type="dxa"/>
          </w:tcPr>
          <w:p w14:paraId="7C20EDCE" w14:textId="0318ABEF" w:rsidR="00CD25C2" w:rsidRPr="007468E8" w:rsidRDefault="00CD25C2" w:rsidP="00CD25C2">
            <w:pPr>
              <w:rPr>
                <w:rFonts w:cstheme="minorHAnsi"/>
                <w:b/>
                <w:bCs/>
                <w:sz w:val="20"/>
                <w:szCs w:val="20"/>
              </w:rPr>
            </w:pPr>
            <w:r w:rsidRPr="007468E8">
              <w:rPr>
                <w:rFonts w:cstheme="minorHAnsi"/>
                <w:b/>
                <w:bCs/>
                <w:sz w:val="20"/>
                <w:szCs w:val="20"/>
              </w:rPr>
              <w:t>Formato</w:t>
            </w:r>
          </w:p>
        </w:tc>
        <w:tc>
          <w:tcPr>
            <w:tcW w:w="7484" w:type="dxa"/>
          </w:tcPr>
          <w:p w14:paraId="4E46760A" w14:textId="1FBB55B3" w:rsidR="00CD25C2" w:rsidRPr="007468E8" w:rsidRDefault="00CD25C2" w:rsidP="00CD25C2">
            <w:pPr>
              <w:rPr>
                <w:rFonts w:cstheme="minorHAnsi"/>
                <w:sz w:val="20"/>
                <w:szCs w:val="20"/>
              </w:rPr>
            </w:pPr>
            <w:r w:rsidRPr="007468E8">
              <w:rPr>
                <w:rFonts w:cstheme="minorHAnsi"/>
                <w:sz w:val="20"/>
                <w:szCs w:val="20"/>
              </w:rPr>
              <w:t>CSV</w:t>
            </w:r>
          </w:p>
        </w:tc>
      </w:tr>
      <w:tr w:rsidR="00CD25C2" w:rsidRPr="007468E8" w14:paraId="7A5EEEA5" w14:textId="77777777" w:rsidTr="00504D0A">
        <w:tc>
          <w:tcPr>
            <w:tcW w:w="2972" w:type="dxa"/>
          </w:tcPr>
          <w:p w14:paraId="14C8EAEF" w14:textId="0A3D3873" w:rsidR="00CD25C2" w:rsidRPr="007468E8" w:rsidRDefault="00CD25C2" w:rsidP="00CD25C2">
            <w:pPr>
              <w:rPr>
                <w:rFonts w:cstheme="minorHAnsi"/>
                <w:sz w:val="20"/>
                <w:szCs w:val="20"/>
              </w:rPr>
            </w:pPr>
            <w:r w:rsidRPr="007468E8">
              <w:rPr>
                <w:rFonts w:cstheme="minorHAnsi"/>
                <w:b/>
                <w:bCs/>
                <w:color w:val="000000" w:themeColor="text1"/>
                <w:kern w:val="24"/>
                <w:sz w:val="20"/>
                <w:szCs w:val="20"/>
                <w:lang w:val="es-MX"/>
              </w:rPr>
              <w:t xml:space="preserve">Cobertura </w:t>
            </w:r>
          </w:p>
        </w:tc>
        <w:tc>
          <w:tcPr>
            <w:tcW w:w="7484" w:type="dxa"/>
          </w:tcPr>
          <w:p w14:paraId="29A0014F" w14:textId="1DAB4D08" w:rsidR="00CD25C2" w:rsidRPr="007468E8" w:rsidRDefault="004E4DA4" w:rsidP="00CD25C2">
            <w:pPr>
              <w:rPr>
                <w:rFonts w:cstheme="minorHAnsi"/>
                <w:sz w:val="20"/>
                <w:szCs w:val="20"/>
              </w:rPr>
            </w:pPr>
            <w:r w:rsidRPr="007468E8">
              <w:rPr>
                <w:rFonts w:cstheme="minorHAnsi"/>
                <w:sz w:val="20"/>
                <w:szCs w:val="20"/>
              </w:rPr>
              <w:t>Perú, 2014-2021</w:t>
            </w:r>
          </w:p>
        </w:tc>
      </w:tr>
      <w:tr w:rsidR="00CD25C2" w:rsidRPr="007468E8" w14:paraId="494AA20C" w14:textId="77777777" w:rsidTr="00504D0A">
        <w:tc>
          <w:tcPr>
            <w:tcW w:w="2972" w:type="dxa"/>
          </w:tcPr>
          <w:p w14:paraId="6E758B40" w14:textId="2431496E" w:rsidR="00CD25C2" w:rsidRPr="007468E8" w:rsidRDefault="00CD25C2" w:rsidP="00CD25C2">
            <w:pPr>
              <w:rPr>
                <w:rFonts w:cstheme="minorHAnsi"/>
                <w:b/>
                <w:bCs/>
                <w:sz w:val="20"/>
                <w:szCs w:val="20"/>
              </w:rPr>
            </w:pPr>
            <w:r w:rsidRPr="007468E8">
              <w:rPr>
                <w:rFonts w:cstheme="minorHAnsi"/>
                <w:b/>
                <w:bCs/>
                <w:sz w:val="20"/>
                <w:szCs w:val="20"/>
              </w:rPr>
              <w:t>Correo de contacto</w:t>
            </w:r>
          </w:p>
        </w:tc>
        <w:tc>
          <w:tcPr>
            <w:tcW w:w="7484" w:type="dxa"/>
          </w:tcPr>
          <w:p w14:paraId="4E87C2D7" w14:textId="03A21B8C" w:rsidR="00CD25C2" w:rsidRPr="007468E8" w:rsidRDefault="00000000" w:rsidP="00CD25C2">
            <w:pPr>
              <w:rPr>
                <w:rFonts w:cstheme="minorHAnsi"/>
                <w:sz w:val="20"/>
                <w:szCs w:val="20"/>
              </w:rPr>
            </w:pPr>
            <w:hyperlink r:id="rId7" w:history="1">
              <w:r w:rsidR="00F17925" w:rsidRPr="0035303F">
                <w:rPr>
                  <w:rStyle w:val="Hipervnculo"/>
                  <w:rFonts w:cstheme="minorHAnsi"/>
                  <w:sz w:val="20"/>
                  <w:szCs w:val="20"/>
                </w:rPr>
                <w:t>vmendoza@minam.gob.pe</w:t>
              </w:r>
            </w:hyperlink>
          </w:p>
        </w:tc>
      </w:tr>
    </w:tbl>
    <w:p w14:paraId="633FB76F" w14:textId="57B106AA" w:rsidR="004E4DA4" w:rsidRDefault="004E4DA4" w:rsidP="00DA6578">
      <w:pPr>
        <w:rPr>
          <w:rFonts w:asciiTheme="majorHAnsi" w:hAnsiTheme="majorHAnsi" w:cstheme="majorHAnsi"/>
        </w:rPr>
      </w:pPr>
    </w:p>
    <w:p w14:paraId="3D59965A" w14:textId="30E9D86F" w:rsidR="007468E8" w:rsidRDefault="007468E8" w:rsidP="00DA6578">
      <w:pPr>
        <w:rPr>
          <w:rFonts w:asciiTheme="majorHAnsi" w:hAnsiTheme="majorHAnsi" w:cstheme="majorHAnsi"/>
        </w:rPr>
      </w:pPr>
    </w:p>
    <w:p w14:paraId="1620D6B8" w14:textId="04DA13C2" w:rsidR="007468E8" w:rsidRDefault="007468E8" w:rsidP="00DA6578">
      <w:pPr>
        <w:rPr>
          <w:rFonts w:asciiTheme="majorHAnsi" w:hAnsiTheme="majorHAnsi" w:cstheme="majorHAnsi"/>
        </w:rPr>
      </w:pPr>
    </w:p>
    <w:p w14:paraId="3D34B4D2" w14:textId="2A09B0BC" w:rsidR="007468E8" w:rsidRDefault="007468E8" w:rsidP="00DA6578">
      <w:pPr>
        <w:rPr>
          <w:rFonts w:asciiTheme="majorHAnsi" w:hAnsiTheme="majorHAnsi" w:cstheme="majorHAnsi"/>
        </w:rPr>
      </w:pPr>
    </w:p>
    <w:p w14:paraId="50CDEAF9" w14:textId="06BC21A9" w:rsidR="007468E8" w:rsidRDefault="007468E8" w:rsidP="00DA6578">
      <w:pPr>
        <w:rPr>
          <w:rFonts w:asciiTheme="majorHAnsi" w:hAnsiTheme="majorHAnsi" w:cstheme="majorHAnsi"/>
        </w:rPr>
      </w:pPr>
    </w:p>
    <w:p w14:paraId="7A6403A4" w14:textId="69ECB412" w:rsidR="007468E8" w:rsidRDefault="007468E8" w:rsidP="00DA6578">
      <w:pPr>
        <w:rPr>
          <w:rFonts w:asciiTheme="majorHAnsi" w:hAnsiTheme="majorHAnsi" w:cstheme="majorHAnsi"/>
        </w:rPr>
      </w:pPr>
    </w:p>
    <w:p w14:paraId="38C4FC5E" w14:textId="78127637" w:rsidR="007468E8" w:rsidRDefault="007468E8" w:rsidP="00DA6578">
      <w:pPr>
        <w:rPr>
          <w:rFonts w:asciiTheme="majorHAnsi" w:hAnsiTheme="majorHAnsi" w:cstheme="majorHAnsi"/>
        </w:rPr>
      </w:pPr>
    </w:p>
    <w:p w14:paraId="2EFD0FE0" w14:textId="3D56D599" w:rsidR="007468E8" w:rsidRDefault="007468E8" w:rsidP="00DA6578">
      <w:pPr>
        <w:rPr>
          <w:rFonts w:asciiTheme="majorHAnsi" w:hAnsiTheme="majorHAnsi" w:cstheme="majorHAnsi"/>
        </w:rPr>
      </w:pPr>
    </w:p>
    <w:sectPr w:rsidR="007468E8" w:rsidSect="003E48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634"/>
    <w:multiLevelType w:val="hybridMultilevel"/>
    <w:tmpl w:val="F4B0CD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50F3368"/>
    <w:multiLevelType w:val="hybridMultilevel"/>
    <w:tmpl w:val="51EEB21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8031C13"/>
    <w:multiLevelType w:val="hybridMultilevel"/>
    <w:tmpl w:val="35C652B8"/>
    <w:lvl w:ilvl="0" w:tplc="D282634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29F27C3"/>
    <w:multiLevelType w:val="hybridMultilevel"/>
    <w:tmpl w:val="351CFA60"/>
    <w:lvl w:ilvl="0" w:tplc="EAAA32F8">
      <w:start w:val="1"/>
      <w:numFmt w:val="bullet"/>
      <w:lvlText w:val="•"/>
      <w:lvlJc w:val="left"/>
      <w:pPr>
        <w:tabs>
          <w:tab w:val="num" w:pos="720"/>
        </w:tabs>
        <w:ind w:left="720" w:hanging="360"/>
      </w:pPr>
      <w:rPr>
        <w:rFonts w:ascii="Arial" w:hAnsi="Arial" w:hint="default"/>
      </w:rPr>
    </w:lvl>
    <w:lvl w:ilvl="1" w:tplc="E3AE4A84" w:tentative="1">
      <w:start w:val="1"/>
      <w:numFmt w:val="bullet"/>
      <w:lvlText w:val="•"/>
      <w:lvlJc w:val="left"/>
      <w:pPr>
        <w:tabs>
          <w:tab w:val="num" w:pos="1440"/>
        </w:tabs>
        <w:ind w:left="1440" w:hanging="360"/>
      </w:pPr>
      <w:rPr>
        <w:rFonts w:ascii="Arial" w:hAnsi="Arial" w:hint="default"/>
      </w:rPr>
    </w:lvl>
    <w:lvl w:ilvl="2" w:tplc="02DAA2DA" w:tentative="1">
      <w:start w:val="1"/>
      <w:numFmt w:val="bullet"/>
      <w:lvlText w:val="•"/>
      <w:lvlJc w:val="left"/>
      <w:pPr>
        <w:tabs>
          <w:tab w:val="num" w:pos="2160"/>
        </w:tabs>
        <w:ind w:left="2160" w:hanging="360"/>
      </w:pPr>
      <w:rPr>
        <w:rFonts w:ascii="Arial" w:hAnsi="Arial" w:hint="default"/>
      </w:rPr>
    </w:lvl>
    <w:lvl w:ilvl="3" w:tplc="FD3EED54" w:tentative="1">
      <w:start w:val="1"/>
      <w:numFmt w:val="bullet"/>
      <w:lvlText w:val="•"/>
      <w:lvlJc w:val="left"/>
      <w:pPr>
        <w:tabs>
          <w:tab w:val="num" w:pos="2880"/>
        </w:tabs>
        <w:ind w:left="2880" w:hanging="360"/>
      </w:pPr>
      <w:rPr>
        <w:rFonts w:ascii="Arial" w:hAnsi="Arial" w:hint="default"/>
      </w:rPr>
    </w:lvl>
    <w:lvl w:ilvl="4" w:tplc="4AC264CA" w:tentative="1">
      <w:start w:val="1"/>
      <w:numFmt w:val="bullet"/>
      <w:lvlText w:val="•"/>
      <w:lvlJc w:val="left"/>
      <w:pPr>
        <w:tabs>
          <w:tab w:val="num" w:pos="3600"/>
        </w:tabs>
        <w:ind w:left="3600" w:hanging="360"/>
      </w:pPr>
      <w:rPr>
        <w:rFonts w:ascii="Arial" w:hAnsi="Arial" w:hint="default"/>
      </w:rPr>
    </w:lvl>
    <w:lvl w:ilvl="5" w:tplc="349CD696" w:tentative="1">
      <w:start w:val="1"/>
      <w:numFmt w:val="bullet"/>
      <w:lvlText w:val="•"/>
      <w:lvlJc w:val="left"/>
      <w:pPr>
        <w:tabs>
          <w:tab w:val="num" w:pos="4320"/>
        </w:tabs>
        <w:ind w:left="4320" w:hanging="360"/>
      </w:pPr>
      <w:rPr>
        <w:rFonts w:ascii="Arial" w:hAnsi="Arial" w:hint="default"/>
      </w:rPr>
    </w:lvl>
    <w:lvl w:ilvl="6" w:tplc="C5F87778" w:tentative="1">
      <w:start w:val="1"/>
      <w:numFmt w:val="bullet"/>
      <w:lvlText w:val="•"/>
      <w:lvlJc w:val="left"/>
      <w:pPr>
        <w:tabs>
          <w:tab w:val="num" w:pos="5040"/>
        </w:tabs>
        <w:ind w:left="5040" w:hanging="360"/>
      </w:pPr>
      <w:rPr>
        <w:rFonts w:ascii="Arial" w:hAnsi="Arial" w:hint="default"/>
      </w:rPr>
    </w:lvl>
    <w:lvl w:ilvl="7" w:tplc="A156F602" w:tentative="1">
      <w:start w:val="1"/>
      <w:numFmt w:val="bullet"/>
      <w:lvlText w:val="•"/>
      <w:lvlJc w:val="left"/>
      <w:pPr>
        <w:tabs>
          <w:tab w:val="num" w:pos="5760"/>
        </w:tabs>
        <w:ind w:left="5760" w:hanging="360"/>
      </w:pPr>
      <w:rPr>
        <w:rFonts w:ascii="Arial" w:hAnsi="Arial" w:hint="default"/>
      </w:rPr>
    </w:lvl>
    <w:lvl w:ilvl="8" w:tplc="6D2A5E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334537"/>
    <w:multiLevelType w:val="hybridMultilevel"/>
    <w:tmpl w:val="51EEB21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92C13A7"/>
    <w:multiLevelType w:val="hybridMultilevel"/>
    <w:tmpl w:val="4578769E"/>
    <w:lvl w:ilvl="0" w:tplc="001A3786">
      <w:start w:val="1"/>
      <w:numFmt w:val="bullet"/>
      <w:lvlText w:val="•"/>
      <w:lvlJc w:val="left"/>
      <w:pPr>
        <w:tabs>
          <w:tab w:val="num" w:pos="720"/>
        </w:tabs>
        <w:ind w:left="720" w:hanging="360"/>
      </w:pPr>
      <w:rPr>
        <w:rFonts w:ascii="Arial" w:hAnsi="Arial" w:hint="default"/>
      </w:rPr>
    </w:lvl>
    <w:lvl w:ilvl="1" w:tplc="85AEFB0E" w:tentative="1">
      <w:start w:val="1"/>
      <w:numFmt w:val="bullet"/>
      <w:lvlText w:val="•"/>
      <w:lvlJc w:val="left"/>
      <w:pPr>
        <w:tabs>
          <w:tab w:val="num" w:pos="1440"/>
        </w:tabs>
        <w:ind w:left="1440" w:hanging="360"/>
      </w:pPr>
      <w:rPr>
        <w:rFonts w:ascii="Arial" w:hAnsi="Arial" w:hint="default"/>
      </w:rPr>
    </w:lvl>
    <w:lvl w:ilvl="2" w:tplc="F6F01330" w:tentative="1">
      <w:start w:val="1"/>
      <w:numFmt w:val="bullet"/>
      <w:lvlText w:val="•"/>
      <w:lvlJc w:val="left"/>
      <w:pPr>
        <w:tabs>
          <w:tab w:val="num" w:pos="2160"/>
        </w:tabs>
        <w:ind w:left="2160" w:hanging="360"/>
      </w:pPr>
      <w:rPr>
        <w:rFonts w:ascii="Arial" w:hAnsi="Arial" w:hint="default"/>
      </w:rPr>
    </w:lvl>
    <w:lvl w:ilvl="3" w:tplc="7A720BBE" w:tentative="1">
      <w:start w:val="1"/>
      <w:numFmt w:val="bullet"/>
      <w:lvlText w:val="•"/>
      <w:lvlJc w:val="left"/>
      <w:pPr>
        <w:tabs>
          <w:tab w:val="num" w:pos="2880"/>
        </w:tabs>
        <w:ind w:left="2880" w:hanging="360"/>
      </w:pPr>
      <w:rPr>
        <w:rFonts w:ascii="Arial" w:hAnsi="Arial" w:hint="default"/>
      </w:rPr>
    </w:lvl>
    <w:lvl w:ilvl="4" w:tplc="FDDECD4E" w:tentative="1">
      <w:start w:val="1"/>
      <w:numFmt w:val="bullet"/>
      <w:lvlText w:val="•"/>
      <w:lvlJc w:val="left"/>
      <w:pPr>
        <w:tabs>
          <w:tab w:val="num" w:pos="3600"/>
        </w:tabs>
        <w:ind w:left="3600" w:hanging="360"/>
      </w:pPr>
      <w:rPr>
        <w:rFonts w:ascii="Arial" w:hAnsi="Arial" w:hint="default"/>
      </w:rPr>
    </w:lvl>
    <w:lvl w:ilvl="5" w:tplc="E60013BC" w:tentative="1">
      <w:start w:val="1"/>
      <w:numFmt w:val="bullet"/>
      <w:lvlText w:val="•"/>
      <w:lvlJc w:val="left"/>
      <w:pPr>
        <w:tabs>
          <w:tab w:val="num" w:pos="4320"/>
        </w:tabs>
        <w:ind w:left="4320" w:hanging="360"/>
      </w:pPr>
      <w:rPr>
        <w:rFonts w:ascii="Arial" w:hAnsi="Arial" w:hint="default"/>
      </w:rPr>
    </w:lvl>
    <w:lvl w:ilvl="6" w:tplc="851638C6" w:tentative="1">
      <w:start w:val="1"/>
      <w:numFmt w:val="bullet"/>
      <w:lvlText w:val="•"/>
      <w:lvlJc w:val="left"/>
      <w:pPr>
        <w:tabs>
          <w:tab w:val="num" w:pos="5040"/>
        </w:tabs>
        <w:ind w:left="5040" w:hanging="360"/>
      </w:pPr>
      <w:rPr>
        <w:rFonts w:ascii="Arial" w:hAnsi="Arial" w:hint="default"/>
      </w:rPr>
    </w:lvl>
    <w:lvl w:ilvl="7" w:tplc="715C65D4" w:tentative="1">
      <w:start w:val="1"/>
      <w:numFmt w:val="bullet"/>
      <w:lvlText w:val="•"/>
      <w:lvlJc w:val="left"/>
      <w:pPr>
        <w:tabs>
          <w:tab w:val="num" w:pos="5760"/>
        </w:tabs>
        <w:ind w:left="5760" w:hanging="360"/>
      </w:pPr>
      <w:rPr>
        <w:rFonts w:ascii="Arial" w:hAnsi="Arial" w:hint="default"/>
      </w:rPr>
    </w:lvl>
    <w:lvl w:ilvl="8" w:tplc="EDB4C7D4" w:tentative="1">
      <w:start w:val="1"/>
      <w:numFmt w:val="bullet"/>
      <w:lvlText w:val="•"/>
      <w:lvlJc w:val="left"/>
      <w:pPr>
        <w:tabs>
          <w:tab w:val="num" w:pos="6480"/>
        </w:tabs>
        <w:ind w:left="6480" w:hanging="360"/>
      </w:pPr>
      <w:rPr>
        <w:rFonts w:ascii="Arial" w:hAnsi="Arial" w:hint="default"/>
      </w:rPr>
    </w:lvl>
  </w:abstractNum>
  <w:num w:numId="1" w16cid:durableId="1484663315">
    <w:abstractNumId w:val="5"/>
  </w:num>
  <w:num w:numId="2" w16cid:durableId="445779428">
    <w:abstractNumId w:val="3"/>
  </w:num>
  <w:num w:numId="3" w16cid:durableId="379598773">
    <w:abstractNumId w:val="1"/>
  </w:num>
  <w:num w:numId="4" w16cid:durableId="1556237171">
    <w:abstractNumId w:val="0"/>
  </w:num>
  <w:num w:numId="5" w16cid:durableId="1822308602">
    <w:abstractNumId w:val="4"/>
  </w:num>
  <w:num w:numId="6" w16cid:durableId="1395280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3F"/>
    <w:rsid w:val="00006E53"/>
    <w:rsid w:val="00011D17"/>
    <w:rsid w:val="0002453E"/>
    <w:rsid w:val="00037BC5"/>
    <w:rsid w:val="00052FCE"/>
    <w:rsid w:val="00056936"/>
    <w:rsid w:val="00091407"/>
    <w:rsid w:val="000C03D9"/>
    <w:rsid w:val="000C78C5"/>
    <w:rsid w:val="000D1C10"/>
    <w:rsid w:val="00116DF8"/>
    <w:rsid w:val="00121484"/>
    <w:rsid w:val="001440F9"/>
    <w:rsid w:val="00182C03"/>
    <w:rsid w:val="0020585A"/>
    <w:rsid w:val="00264613"/>
    <w:rsid w:val="00297BE5"/>
    <w:rsid w:val="002A74DC"/>
    <w:rsid w:val="002B6FA7"/>
    <w:rsid w:val="002D38FD"/>
    <w:rsid w:val="002E47A9"/>
    <w:rsid w:val="00306482"/>
    <w:rsid w:val="003066F0"/>
    <w:rsid w:val="003560AB"/>
    <w:rsid w:val="003D0AF5"/>
    <w:rsid w:val="003D6FF9"/>
    <w:rsid w:val="003E4836"/>
    <w:rsid w:val="00426200"/>
    <w:rsid w:val="0048753E"/>
    <w:rsid w:val="004E4DA4"/>
    <w:rsid w:val="004F1C27"/>
    <w:rsid w:val="004F1D9B"/>
    <w:rsid w:val="00504D0A"/>
    <w:rsid w:val="0053263F"/>
    <w:rsid w:val="005F2C43"/>
    <w:rsid w:val="00610FAA"/>
    <w:rsid w:val="00636A28"/>
    <w:rsid w:val="00647FB5"/>
    <w:rsid w:val="00682CD5"/>
    <w:rsid w:val="006D7112"/>
    <w:rsid w:val="0070589E"/>
    <w:rsid w:val="00717CED"/>
    <w:rsid w:val="007468E8"/>
    <w:rsid w:val="007840A6"/>
    <w:rsid w:val="00790D5D"/>
    <w:rsid w:val="00832C3C"/>
    <w:rsid w:val="00846AC7"/>
    <w:rsid w:val="00876384"/>
    <w:rsid w:val="00881CC6"/>
    <w:rsid w:val="00904DBB"/>
    <w:rsid w:val="009379D2"/>
    <w:rsid w:val="0095347C"/>
    <w:rsid w:val="00962F24"/>
    <w:rsid w:val="009A7FF5"/>
    <w:rsid w:val="009B0AA2"/>
    <w:rsid w:val="009F0CA5"/>
    <w:rsid w:val="00A440BC"/>
    <w:rsid w:val="00A81555"/>
    <w:rsid w:val="00AA5764"/>
    <w:rsid w:val="00B27C25"/>
    <w:rsid w:val="00B571FB"/>
    <w:rsid w:val="00B6616D"/>
    <w:rsid w:val="00B67D68"/>
    <w:rsid w:val="00B74C1C"/>
    <w:rsid w:val="00BC3FC0"/>
    <w:rsid w:val="00BD121F"/>
    <w:rsid w:val="00BD3384"/>
    <w:rsid w:val="00BE2CC3"/>
    <w:rsid w:val="00C51902"/>
    <w:rsid w:val="00C961F8"/>
    <w:rsid w:val="00CD25C2"/>
    <w:rsid w:val="00D00322"/>
    <w:rsid w:val="00D04097"/>
    <w:rsid w:val="00D07533"/>
    <w:rsid w:val="00D10843"/>
    <w:rsid w:val="00D1664A"/>
    <w:rsid w:val="00D5559D"/>
    <w:rsid w:val="00D957C7"/>
    <w:rsid w:val="00DA6578"/>
    <w:rsid w:val="00DB750E"/>
    <w:rsid w:val="00E47616"/>
    <w:rsid w:val="00EB1A82"/>
    <w:rsid w:val="00EB634D"/>
    <w:rsid w:val="00EE19D0"/>
    <w:rsid w:val="00F063B5"/>
    <w:rsid w:val="00F1229D"/>
    <w:rsid w:val="00F17925"/>
    <w:rsid w:val="00F471E8"/>
    <w:rsid w:val="00F66923"/>
    <w:rsid w:val="00F71199"/>
    <w:rsid w:val="00FA048A"/>
    <w:rsid w:val="00FA2E48"/>
    <w:rsid w:val="00FC3319"/>
    <w:rsid w:val="00FC72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BE67"/>
  <w15:chartTrackingRefBased/>
  <w15:docId w15:val="{21A38796-FE20-4F81-96E3-6C3D7A2F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5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0CA5"/>
    <w:rPr>
      <w:color w:val="0563C1" w:themeColor="hyperlink"/>
      <w:u w:val="single"/>
    </w:rPr>
  </w:style>
  <w:style w:type="character" w:styleId="Mencinsinresolver">
    <w:name w:val="Unresolved Mention"/>
    <w:basedOn w:val="Fuentedeprrafopredeter"/>
    <w:uiPriority w:val="99"/>
    <w:semiHidden/>
    <w:unhideWhenUsed/>
    <w:rsid w:val="009F0CA5"/>
    <w:rPr>
      <w:color w:val="605E5C"/>
      <w:shd w:val="clear" w:color="auto" w:fill="E1DFDD"/>
    </w:rPr>
  </w:style>
  <w:style w:type="table" w:styleId="Tablaconcuadrcula">
    <w:name w:val="Table Grid"/>
    <w:basedOn w:val="Tablanormal"/>
    <w:uiPriority w:val="39"/>
    <w:rsid w:val="009F0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0CA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9F0CA5"/>
    <w:pPr>
      <w:spacing w:after="0" w:line="240" w:lineRule="auto"/>
      <w:ind w:left="720"/>
      <w:contextualSpacing/>
    </w:pPr>
    <w:rPr>
      <w:rFonts w:ascii="Times New Roman" w:eastAsia="Times New Roman" w:hAnsi="Times New Roman" w:cs="Times New Roman"/>
      <w:sz w:val="24"/>
      <w:szCs w:val="24"/>
      <w:lang w:eastAsia="es-PE"/>
    </w:rPr>
  </w:style>
  <w:style w:type="paragraph" w:styleId="Revisin">
    <w:name w:val="Revision"/>
    <w:hidden/>
    <w:uiPriority w:val="99"/>
    <w:semiHidden/>
    <w:rsid w:val="002E47A9"/>
    <w:pPr>
      <w:spacing w:after="0" w:line="240" w:lineRule="auto"/>
    </w:pPr>
  </w:style>
  <w:style w:type="character" w:styleId="Refdecomentario">
    <w:name w:val="annotation reference"/>
    <w:basedOn w:val="Fuentedeprrafopredeter"/>
    <w:uiPriority w:val="99"/>
    <w:semiHidden/>
    <w:unhideWhenUsed/>
    <w:rsid w:val="00F17925"/>
    <w:rPr>
      <w:sz w:val="16"/>
      <w:szCs w:val="16"/>
    </w:rPr>
  </w:style>
  <w:style w:type="paragraph" w:styleId="Textocomentario">
    <w:name w:val="annotation text"/>
    <w:basedOn w:val="Normal"/>
    <w:link w:val="TextocomentarioCar"/>
    <w:uiPriority w:val="99"/>
    <w:semiHidden/>
    <w:unhideWhenUsed/>
    <w:rsid w:val="00F179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7925"/>
    <w:rPr>
      <w:sz w:val="20"/>
      <w:szCs w:val="20"/>
    </w:rPr>
  </w:style>
  <w:style w:type="paragraph" w:styleId="Asuntodelcomentario">
    <w:name w:val="annotation subject"/>
    <w:basedOn w:val="Textocomentario"/>
    <w:next w:val="Textocomentario"/>
    <w:link w:val="AsuntodelcomentarioCar"/>
    <w:uiPriority w:val="99"/>
    <w:semiHidden/>
    <w:unhideWhenUsed/>
    <w:rsid w:val="00F17925"/>
    <w:rPr>
      <w:b/>
      <w:bCs/>
    </w:rPr>
  </w:style>
  <w:style w:type="character" w:customStyle="1" w:styleId="AsuntodelcomentarioCar">
    <w:name w:val="Asunto del comentario Car"/>
    <w:basedOn w:val="TextocomentarioCar"/>
    <w:link w:val="Asuntodelcomentario"/>
    <w:uiPriority w:val="99"/>
    <w:semiHidden/>
    <w:rsid w:val="00F17925"/>
    <w:rPr>
      <w:b/>
      <w:bCs/>
      <w:sz w:val="20"/>
      <w:szCs w:val="20"/>
    </w:rPr>
  </w:style>
  <w:style w:type="character" w:styleId="Textodelmarcadordeposicin">
    <w:name w:val="Placeholder Text"/>
    <w:basedOn w:val="Fuentedeprrafopredeter"/>
    <w:uiPriority w:val="99"/>
    <w:semiHidden/>
    <w:rsid w:val="00056936"/>
    <w:rPr>
      <w:color w:val="808080"/>
    </w:rPr>
  </w:style>
  <w:style w:type="paragraph" w:styleId="Textodeglobo">
    <w:name w:val="Balloon Text"/>
    <w:basedOn w:val="Normal"/>
    <w:link w:val="TextodegloboCar"/>
    <w:uiPriority w:val="99"/>
    <w:semiHidden/>
    <w:unhideWhenUsed/>
    <w:rsid w:val="00832C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2C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4070">
      <w:bodyDiv w:val="1"/>
      <w:marLeft w:val="0"/>
      <w:marRight w:val="0"/>
      <w:marTop w:val="0"/>
      <w:marBottom w:val="0"/>
      <w:divBdr>
        <w:top w:val="none" w:sz="0" w:space="0" w:color="auto"/>
        <w:left w:val="none" w:sz="0" w:space="0" w:color="auto"/>
        <w:bottom w:val="none" w:sz="0" w:space="0" w:color="auto"/>
        <w:right w:val="none" w:sz="0" w:space="0" w:color="auto"/>
      </w:divBdr>
    </w:div>
    <w:div w:id="1137454505">
      <w:bodyDiv w:val="1"/>
      <w:marLeft w:val="0"/>
      <w:marRight w:val="0"/>
      <w:marTop w:val="0"/>
      <w:marBottom w:val="0"/>
      <w:divBdr>
        <w:top w:val="none" w:sz="0" w:space="0" w:color="auto"/>
        <w:left w:val="none" w:sz="0" w:space="0" w:color="auto"/>
        <w:bottom w:val="none" w:sz="0" w:space="0" w:color="auto"/>
        <w:right w:val="none" w:sz="0" w:space="0" w:color="auto"/>
      </w:divBdr>
      <w:divsChild>
        <w:div w:id="790854706">
          <w:marLeft w:val="274"/>
          <w:marRight w:val="0"/>
          <w:marTop w:val="0"/>
          <w:marBottom w:val="0"/>
          <w:divBdr>
            <w:top w:val="none" w:sz="0" w:space="0" w:color="auto"/>
            <w:left w:val="none" w:sz="0" w:space="0" w:color="auto"/>
            <w:bottom w:val="none" w:sz="0" w:space="0" w:color="auto"/>
            <w:right w:val="none" w:sz="0" w:space="0" w:color="auto"/>
          </w:divBdr>
        </w:div>
        <w:div w:id="78405496">
          <w:marLeft w:val="274"/>
          <w:marRight w:val="0"/>
          <w:marTop w:val="0"/>
          <w:marBottom w:val="0"/>
          <w:divBdr>
            <w:top w:val="none" w:sz="0" w:space="0" w:color="auto"/>
            <w:left w:val="none" w:sz="0" w:space="0" w:color="auto"/>
            <w:bottom w:val="none" w:sz="0" w:space="0" w:color="auto"/>
            <w:right w:val="none" w:sz="0" w:space="0" w:color="auto"/>
          </w:divBdr>
        </w:div>
        <w:div w:id="1641493123">
          <w:marLeft w:val="274"/>
          <w:marRight w:val="0"/>
          <w:marTop w:val="0"/>
          <w:marBottom w:val="0"/>
          <w:divBdr>
            <w:top w:val="none" w:sz="0" w:space="0" w:color="auto"/>
            <w:left w:val="none" w:sz="0" w:space="0" w:color="auto"/>
            <w:bottom w:val="none" w:sz="0" w:space="0" w:color="auto"/>
            <w:right w:val="none" w:sz="0" w:space="0" w:color="auto"/>
          </w:divBdr>
        </w:div>
        <w:div w:id="403258452">
          <w:marLeft w:val="274"/>
          <w:marRight w:val="0"/>
          <w:marTop w:val="0"/>
          <w:marBottom w:val="0"/>
          <w:divBdr>
            <w:top w:val="none" w:sz="0" w:space="0" w:color="auto"/>
            <w:left w:val="none" w:sz="0" w:space="0" w:color="auto"/>
            <w:bottom w:val="none" w:sz="0" w:space="0" w:color="auto"/>
            <w:right w:val="none" w:sz="0" w:space="0" w:color="auto"/>
          </w:divBdr>
        </w:div>
        <w:div w:id="1309433336">
          <w:marLeft w:val="274"/>
          <w:marRight w:val="0"/>
          <w:marTop w:val="0"/>
          <w:marBottom w:val="0"/>
          <w:divBdr>
            <w:top w:val="none" w:sz="0" w:space="0" w:color="auto"/>
            <w:left w:val="none" w:sz="0" w:space="0" w:color="auto"/>
            <w:bottom w:val="none" w:sz="0" w:space="0" w:color="auto"/>
            <w:right w:val="none" w:sz="0" w:space="0" w:color="auto"/>
          </w:divBdr>
        </w:div>
        <w:div w:id="2107924433">
          <w:marLeft w:val="274"/>
          <w:marRight w:val="0"/>
          <w:marTop w:val="0"/>
          <w:marBottom w:val="0"/>
          <w:divBdr>
            <w:top w:val="none" w:sz="0" w:space="0" w:color="auto"/>
            <w:left w:val="none" w:sz="0" w:space="0" w:color="auto"/>
            <w:bottom w:val="none" w:sz="0" w:space="0" w:color="auto"/>
            <w:right w:val="none" w:sz="0" w:space="0" w:color="auto"/>
          </w:divBdr>
        </w:div>
        <w:div w:id="18092026">
          <w:marLeft w:val="274"/>
          <w:marRight w:val="0"/>
          <w:marTop w:val="0"/>
          <w:marBottom w:val="0"/>
          <w:divBdr>
            <w:top w:val="none" w:sz="0" w:space="0" w:color="auto"/>
            <w:left w:val="none" w:sz="0" w:space="0" w:color="auto"/>
            <w:bottom w:val="none" w:sz="0" w:space="0" w:color="auto"/>
            <w:right w:val="none" w:sz="0" w:space="0" w:color="auto"/>
          </w:divBdr>
        </w:div>
        <w:div w:id="1344356230">
          <w:marLeft w:val="274"/>
          <w:marRight w:val="0"/>
          <w:marTop w:val="0"/>
          <w:marBottom w:val="0"/>
          <w:divBdr>
            <w:top w:val="none" w:sz="0" w:space="0" w:color="auto"/>
            <w:left w:val="none" w:sz="0" w:space="0" w:color="auto"/>
            <w:bottom w:val="none" w:sz="0" w:space="0" w:color="auto"/>
            <w:right w:val="none" w:sz="0" w:space="0" w:color="auto"/>
          </w:divBdr>
        </w:div>
      </w:divsChild>
    </w:div>
    <w:div w:id="1235702715">
      <w:bodyDiv w:val="1"/>
      <w:marLeft w:val="0"/>
      <w:marRight w:val="0"/>
      <w:marTop w:val="0"/>
      <w:marBottom w:val="0"/>
      <w:divBdr>
        <w:top w:val="none" w:sz="0" w:space="0" w:color="auto"/>
        <w:left w:val="none" w:sz="0" w:space="0" w:color="auto"/>
        <w:bottom w:val="none" w:sz="0" w:space="0" w:color="auto"/>
        <w:right w:val="none" w:sz="0" w:space="0" w:color="auto"/>
      </w:divBdr>
    </w:div>
    <w:div w:id="1453481831">
      <w:bodyDiv w:val="1"/>
      <w:marLeft w:val="0"/>
      <w:marRight w:val="0"/>
      <w:marTop w:val="0"/>
      <w:marBottom w:val="0"/>
      <w:divBdr>
        <w:top w:val="none" w:sz="0" w:space="0" w:color="auto"/>
        <w:left w:val="none" w:sz="0" w:space="0" w:color="auto"/>
        <w:bottom w:val="none" w:sz="0" w:space="0" w:color="auto"/>
        <w:right w:val="none" w:sz="0" w:space="0" w:color="auto"/>
      </w:divBdr>
    </w:div>
    <w:div w:id="1624924370">
      <w:bodyDiv w:val="1"/>
      <w:marLeft w:val="0"/>
      <w:marRight w:val="0"/>
      <w:marTop w:val="0"/>
      <w:marBottom w:val="0"/>
      <w:divBdr>
        <w:top w:val="none" w:sz="0" w:space="0" w:color="auto"/>
        <w:left w:val="none" w:sz="0" w:space="0" w:color="auto"/>
        <w:bottom w:val="none" w:sz="0" w:space="0" w:color="auto"/>
        <w:right w:val="none" w:sz="0" w:space="0" w:color="auto"/>
      </w:divBdr>
    </w:div>
    <w:div w:id="1641769041">
      <w:bodyDiv w:val="1"/>
      <w:marLeft w:val="0"/>
      <w:marRight w:val="0"/>
      <w:marTop w:val="0"/>
      <w:marBottom w:val="0"/>
      <w:divBdr>
        <w:top w:val="none" w:sz="0" w:space="0" w:color="auto"/>
        <w:left w:val="none" w:sz="0" w:space="0" w:color="auto"/>
        <w:bottom w:val="none" w:sz="0" w:space="0" w:color="auto"/>
        <w:right w:val="none" w:sz="0" w:space="0" w:color="auto"/>
      </w:divBdr>
      <w:divsChild>
        <w:div w:id="627787388">
          <w:marLeft w:val="274"/>
          <w:marRight w:val="0"/>
          <w:marTop w:val="0"/>
          <w:marBottom w:val="0"/>
          <w:divBdr>
            <w:top w:val="none" w:sz="0" w:space="0" w:color="auto"/>
            <w:left w:val="none" w:sz="0" w:space="0" w:color="auto"/>
            <w:bottom w:val="none" w:sz="0" w:space="0" w:color="auto"/>
            <w:right w:val="none" w:sz="0" w:space="0" w:color="auto"/>
          </w:divBdr>
        </w:div>
        <w:div w:id="1352489226">
          <w:marLeft w:val="274"/>
          <w:marRight w:val="0"/>
          <w:marTop w:val="0"/>
          <w:marBottom w:val="0"/>
          <w:divBdr>
            <w:top w:val="none" w:sz="0" w:space="0" w:color="auto"/>
            <w:left w:val="none" w:sz="0" w:space="0" w:color="auto"/>
            <w:bottom w:val="none" w:sz="0" w:space="0" w:color="auto"/>
            <w:right w:val="none" w:sz="0" w:space="0" w:color="auto"/>
          </w:divBdr>
        </w:div>
        <w:div w:id="462385139">
          <w:marLeft w:val="274"/>
          <w:marRight w:val="0"/>
          <w:marTop w:val="0"/>
          <w:marBottom w:val="0"/>
          <w:divBdr>
            <w:top w:val="none" w:sz="0" w:space="0" w:color="auto"/>
            <w:left w:val="none" w:sz="0" w:space="0" w:color="auto"/>
            <w:bottom w:val="none" w:sz="0" w:space="0" w:color="auto"/>
            <w:right w:val="none" w:sz="0" w:space="0" w:color="auto"/>
          </w:divBdr>
        </w:div>
        <w:div w:id="1056078697">
          <w:marLeft w:val="274"/>
          <w:marRight w:val="0"/>
          <w:marTop w:val="0"/>
          <w:marBottom w:val="0"/>
          <w:divBdr>
            <w:top w:val="none" w:sz="0" w:space="0" w:color="auto"/>
            <w:left w:val="none" w:sz="0" w:space="0" w:color="auto"/>
            <w:bottom w:val="none" w:sz="0" w:space="0" w:color="auto"/>
            <w:right w:val="none" w:sz="0" w:space="0" w:color="auto"/>
          </w:divBdr>
        </w:div>
        <w:div w:id="1730376054">
          <w:marLeft w:val="274"/>
          <w:marRight w:val="0"/>
          <w:marTop w:val="0"/>
          <w:marBottom w:val="0"/>
          <w:divBdr>
            <w:top w:val="none" w:sz="0" w:space="0" w:color="auto"/>
            <w:left w:val="none" w:sz="0" w:space="0" w:color="auto"/>
            <w:bottom w:val="none" w:sz="0" w:space="0" w:color="auto"/>
            <w:right w:val="none" w:sz="0" w:space="0" w:color="auto"/>
          </w:divBdr>
        </w:div>
        <w:div w:id="628828703">
          <w:marLeft w:val="274"/>
          <w:marRight w:val="0"/>
          <w:marTop w:val="0"/>
          <w:marBottom w:val="0"/>
          <w:divBdr>
            <w:top w:val="none" w:sz="0" w:space="0" w:color="auto"/>
            <w:left w:val="none" w:sz="0" w:space="0" w:color="auto"/>
            <w:bottom w:val="none" w:sz="0" w:space="0" w:color="auto"/>
            <w:right w:val="none" w:sz="0" w:space="0" w:color="auto"/>
          </w:divBdr>
        </w:div>
        <w:div w:id="1218399546">
          <w:marLeft w:val="274"/>
          <w:marRight w:val="0"/>
          <w:marTop w:val="0"/>
          <w:marBottom w:val="0"/>
          <w:divBdr>
            <w:top w:val="none" w:sz="0" w:space="0" w:color="auto"/>
            <w:left w:val="none" w:sz="0" w:space="0" w:color="auto"/>
            <w:bottom w:val="none" w:sz="0" w:space="0" w:color="auto"/>
            <w:right w:val="none" w:sz="0" w:space="0" w:color="auto"/>
          </w:divBdr>
        </w:div>
        <w:div w:id="1731152145">
          <w:marLeft w:val="274"/>
          <w:marRight w:val="0"/>
          <w:marTop w:val="0"/>
          <w:marBottom w:val="0"/>
          <w:divBdr>
            <w:top w:val="none" w:sz="0" w:space="0" w:color="auto"/>
            <w:left w:val="none" w:sz="0" w:space="0" w:color="auto"/>
            <w:bottom w:val="none" w:sz="0" w:space="0" w:color="auto"/>
            <w:right w:val="none" w:sz="0" w:space="0" w:color="auto"/>
          </w:divBdr>
        </w:div>
      </w:divsChild>
    </w:div>
    <w:div w:id="1663697397">
      <w:bodyDiv w:val="1"/>
      <w:marLeft w:val="0"/>
      <w:marRight w:val="0"/>
      <w:marTop w:val="0"/>
      <w:marBottom w:val="0"/>
      <w:divBdr>
        <w:top w:val="none" w:sz="0" w:space="0" w:color="auto"/>
        <w:left w:val="none" w:sz="0" w:space="0" w:color="auto"/>
        <w:bottom w:val="none" w:sz="0" w:space="0" w:color="auto"/>
        <w:right w:val="none" w:sz="0" w:space="0" w:color="auto"/>
      </w:divBdr>
    </w:div>
    <w:div w:id="205206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mendoza@minam.gob.p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pendefinition.org/licenses/odc-b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07860-72AD-4860-9F7C-06FFDEA3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683</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Fernanda Vera Quea</dc:creator>
  <cp:keywords/>
  <dc:description/>
  <cp:lastModifiedBy>Rosalyn Daphne Gozar Rafael</cp:lastModifiedBy>
  <cp:revision>4</cp:revision>
  <dcterms:created xsi:type="dcterms:W3CDTF">2023-05-31T23:43:00Z</dcterms:created>
  <dcterms:modified xsi:type="dcterms:W3CDTF">2023-06-14T22:40:00Z</dcterms:modified>
</cp:coreProperties>
</file>