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10368"/>
            <w:shd w:fill="00A499"/>
          </w:tcPr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pStyle w:val="Title"/>
        <w:jc w:val="left"/>
      </w:pPr>
      <w:r>
        <w:rPr>
          <w:rFonts w:ascii="Aptos Display" w:hAnsi="Aptos Display"/>
          <w:b/>
          <w:color w:val="00A499"/>
          <w:sz w:val="44"/>
        </w:rPr>
        <w:t>Checklist de entrega: Hito 1</w:t>
      </w:r>
    </w:p>
    <w:p>
      <w:pPr>
        <w:spacing w:after="160"/>
      </w:pPr>
      <w:r>
        <w:rPr>
          <w:rFonts w:ascii="Aptos" w:hAnsi="Aptos"/>
          <w:b w:val="0"/>
          <w:color w:val="394049"/>
          <w:sz w:val="23"/>
        </w:rPr>
        <w:t>Utilice esta lista antes de enviar la evaluación en Moodle.</w:t>
      </w:r>
    </w:p>
    <w:p>
      <w:pPr>
        <w:spacing w:after="80"/>
      </w:pPr>
      <w:r>
        <w:rPr>
          <w:rFonts w:ascii="Aptos" w:hAnsi="Aptos"/>
          <w:color w:val="00A499"/>
          <w:sz w:val="24"/>
        </w:rPr>
        <w:t xml:space="preserve">☐ </w:t>
      </w:r>
      <w:r>
        <w:rPr>
          <w:rFonts w:ascii="Aptos" w:hAnsi="Aptos"/>
          <w:color w:val="222222"/>
          <w:sz w:val="21"/>
        </w:rPr>
        <w:t>Conservé los archivos de datos y parámetros originales sin sobrescribirlos.</w:t>
      </w:r>
    </w:p>
    <w:p>
      <w:pPr>
        <w:spacing w:after="80"/>
      </w:pPr>
      <w:r>
        <w:rPr>
          <w:rFonts w:ascii="Aptos" w:hAnsi="Aptos"/>
          <w:color w:val="00A499"/>
          <w:sz w:val="24"/>
        </w:rPr>
        <w:t xml:space="preserve">☐ </w:t>
      </w:r>
      <w:r>
        <w:rPr>
          <w:rFonts w:ascii="Aptos" w:hAnsi="Aptos"/>
          <w:color w:val="222222"/>
          <w:sz w:val="21"/>
        </w:rPr>
        <w:t>El análisis identifica unidades y documenta todas las conversiones.</w:t>
      </w:r>
    </w:p>
    <w:p>
      <w:pPr>
        <w:spacing w:after="80"/>
      </w:pPr>
      <w:r>
        <w:rPr>
          <w:rFonts w:ascii="Aptos" w:hAnsi="Aptos"/>
          <w:color w:val="00A499"/>
          <w:sz w:val="24"/>
        </w:rPr>
        <w:t xml:space="preserve">☐ </w:t>
      </w:r>
      <w:r>
        <w:rPr>
          <w:rFonts w:ascii="Aptos" w:hAnsi="Aptos"/>
          <w:color w:val="222222"/>
          <w:sz w:val="21"/>
        </w:rPr>
        <w:t>La planilla permite rastrear el cálculo de I, deflexión teórica y comparación con los datos.</w:t>
      </w:r>
    </w:p>
    <w:p>
      <w:pPr>
        <w:spacing w:after="80"/>
      </w:pPr>
      <w:r>
        <w:rPr>
          <w:rFonts w:ascii="Aptos" w:hAnsi="Aptos"/>
          <w:color w:val="00A499"/>
          <w:sz w:val="24"/>
        </w:rPr>
        <w:t xml:space="preserve">☐ </w:t>
      </w:r>
      <w:r>
        <w:rPr>
          <w:rFonts w:ascii="Aptos" w:hAnsi="Aptos"/>
          <w:color w:val="222222"/>
          <w:sz w:val="21"/>
        </w:rPr>
        <w:t>La figura contiene ejes, unidades, leyenda y distingue datos medidos y teóricos.</w:t>
      </w:r>
    </w:p>
    <w:p>
      <w:pPr>
        <w:spacing w:after="80"/>
      </w:pPr>
      <w:r>
        <w:rPr>
          <w:rFonts w:ascii="Aptos" w:hAnsi="Aptos"/>
          <w:color w:val="00A499"/>
          <w:sz w:val="24"/>
        </w:rPr>
        <w:t xml:space="preserve">☐ </w:t>
      </w:r>
      <w:r>
        <w:rPr>
          <w:rFonts w:ascii="Aptos" w:hAnsi="Aptos"/>
          <w:color w:val="222222"/>
          <w:sz w:val="21"/>
        </w:rPr>
        <w:t>Incluí al menos una verificación adicional y la expliqué en el informe.</w:t>
      </w:r>
    </w:p>
    <w:p>
      <w:pPr>
        <w:spacing w:after="80"/>
      </w:pPr>
      <w:r>
        <w:rPr>
          <w:rFonts w:ascii="Aptos" w:hAnsi="Aptos"/>
          <w:color w:val="00A499"/>
          <w:sz w:val="24"/>
        </w:rPr>
        <w:t xml:space="preserve">☐ </w:t>
      </w:r>
      <w:r>
        <w:rPr>
          <w:rFonts w:ascii="Aptos" w:hAnsi="Aptos"/>
          <w:color w:val="222222"/>
          <w:sz w:val="21"/>
        </w:rPr>
        <w:t>La nota técnica compila en Overleaf y contiene referencias que se resuelven correctamente.</w:t>
      </w:r>
    </w:p>
    <w:p>
      <w:pPr>
        <w:spacing w:after="80"/>
      </w:pPr>
      <w:r>
        <w:rPr>
          <w:rFonts w:ascii="Aptos" w:hAnsi="Aptos"/>
          <w:color w:val="00A499"/>
          <w:sz w:val="24"/>
        </w:rPr>
        <w:t xml:space="preserve">☐ </w:t>
      </w:r>
      <w:r>
        <w:rPr>
          <w:rFonts w:ascii="Aptos" w:hAnsi="Aptos"/>
          <w:color w:val="222222"/>
          <w:sz w:val="21"/>
        </w:rPr>
        <w:t>El README explica cómo reproducir el análisis y dónde se encuentran las entradas y salidas.</w:t>
      </w:r>
    </w:p>
    <w:p>
      <w:pPr>
        <w:spacing w:after="80"/>
      </w:pPr>
      <w:r>
        <w:rPr>
          <w:rFonts w:ascii="Aptos" w:hAnsi="Aptos"/>
          <w:color w:val="00A499"/>
          <w:sz w:val="24"/>
        </w:rPr>
        <w:t xml:space="preserve">☐ </w:t>
      </w:r>
      <w:r>
        <w:rPr>
          <w:rFonts w:ascii="Aptos" w:hAnsi="Aptos"/>
          <w:color w:val="222222"/>
          <w:sz w:val="21"/>
        </w:rPr>
        <w:t>El repositorio tiene historial de cambios y el commit entregado identifica la versión evaluada.</w:t>
      </w:r>
    </w:p>
    <w:p>
      <w:pPr>
        <w:spacing w:after="80"/>
      </w:pPr>
      <w:r>
        <w:rPr>
          <w:rFonts w:ascii="Aptos" w:hAnsi="Aptos"/>
          <w:color w:val="00A499"/>
          <w:sz w:val="24"/>
        </w:rPr>
        <w:t xml:space="preserve">☐ </w:t>
      </w:r>
      <w:r>
        <w:rPr>
          <w:rFonts w:ascii="Aptos" w:hAnsi="Aptos"/>
          <w:color w:val="222222"/>
          <w:sz w:val="21"/>
        </w:rPr>
        <w:t>El archivo USO_IA.md o la sección equivalente declara y verifica el uso de IA, o declara explícitamente que no se utilizó.</w:t>
      </w:r>
    </w:p>
    <w:p>
      <w:pPr>
        <w:spacing w:after="80"/>
      </w:pPr>
      <w:r>
        <w:rPr>
          <w:rFonts w:ascii="Aptos" w:hAnsi="Aptos"/>
          <w:color w:val="00A499"/>
          <w:sz w:val="24"/>
        </w:rPr>
        <w:t xml:space="preserve">☐ </w:t>
      </w:r>
      <w:r>
        <w:rPr>
          <w:rFonts w:ascii="Aptos" w:hAnsi="Aptos"/>
          <w:color w:val="222222"/>
          <w:sz w:val="21"/>
        </w:rPr>
        <w:t>El PDF y el ZIP subidos a Moodle corresponden al mismo estado del repositorio indicado por el commit.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777777"/>
        <w:sz w:val="16"/>
      </w:rPr>
      <w:t>Unidad 1 · Entorno de trabajo computacional reproducible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57400" cy="923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923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52" w:lineRule="auto"/>
    </w:pPr>
    <w:r>
      <w:rPr>
        <w:rFonts w:ascii="Aptos" w:hAnsi="Aptos"/>
        <w:color w:val="394049"/>
        <w:sz w:val="17"/>
      </w:rPr>
      <w:t>Universidad de Santiago de Chile · Herramientas Computacionales para Ingeniería 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A49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A76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9404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0A49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