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8767" w14:textId="277CA901" w:rsidR="00E54367" w:rsidRPr="00135CDA" w:rsidRDefault="000D3FD4" w:rsidP="00135CDA">
      <w:pPr>
        <w:pStyle w:val="Ttulo1"/>
        <w:rPr>
          <w:rFonts w:ascii="Arial" w:hAnsi="Arial" w:cs="Arial"/>
        </w:rPr>
      </w:pPr>
      <w:r w:rsidRPr="00135CDA">
        <w:rPr>
          <w:rFonts w:ascii="Arial" w:hAnsi="Arial" w:cs="Arial"/>
        </w:rPr>
        <w:t>Informe final TP3</w:t>
      </w:r>
    </w:p>
    <w:p w14:paraId="78AAC4A7" w14:textId="4A473147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>Predicción de pago y selección de préstamos bajo restricción presupuestaria</w:t>
      </w:r>
    </w:p>
    <w:p w14:paraId="626756D4" w14:textId="536BB8BA" w:rsidR="000D3FD4" w:rsidRPr="00135CDA" w:rsidRDefault="000D3FD4" w:rsidP="00135CDA">
      <w:pPr>
        <w:rPr>
          <w:rFonts w:ascii="Arial" w:hAnsi="Arial" w:cs="Arial"/>
          <w:color w:val="000000"/>
          <w:sz w:val="22"/>
          <w:szCs w:val="22"/>
        </w:rPr>
      </w:pPr>
      <w:r w:rsidRPr="00135CDA">
        <w:rPr>
          <w:rFonts w:ascii="Arial" w:hAnsi="Arial" w:cs="Arial"/>
          <w:color w:val="000000"/>
          <w:sz w:val="22"/>
          <w:szCs w:val="22"/>
        </w:rPr>
        <w:t>El objetivo fue estimar la probabilidad de pago de cada solicitud y usarla para asignar un presupuesto máximo de USD 2.000.000. La decisión final combinó calidad predictiva y resultado económico: el árbol ajustado quedó como modelo de entrega porque obtuvo la mayor ganancia real y el mejor ROI en validación.</w:t>
      </w:r>
    </w:p>
    <w:p w14:paraId="547E2728" w14:textId="5F8F86F6" w:rsidR="000D3FD4" w:rsidRPr="00135CDA" w:rsidRDefault="000D3FD4" w:rsidP="00135CDA">
      <w:pPr>
        <w:pStyle w:val="Ttulo2"/>
        <w:rPr>
          <w:rFonts w:ascii="Arial" w:hAnsi="Arial" w:cs="Arial"/>
        </w:rPr>
      </w:pPr>
      <w:r w:rsidRPr="00135CDA">
        <w:rPr>
          <w:rFonts w:ascii="Arial" w:hAnsi="Arial" w:cs="Arial"/>
        </w:rPr>
        <w:t>Preparación y decisiones sobre los datos</w:t>
      </w:r>
    </w:p>
    <w:p w14:paraId="3E262482" w14:textId="12EFA2FB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>Trabajamos con 32.416 solicitudes de 18.548 usuarios y un historial bancario mensual. Para evitar fuga de información, cada solicitud se vinculó solamente con registros donde Mes_Referencia fuera anterior a Fecha_Solicitud. El merge pasó de 739.137 a 538.638 filas y luego se resumió a una fila por solicitud.</w:t>
      </w:r>
    </w:p>
    <w:p w14:paraId="1B9A40BB" w14:textId="07B21536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>• Resumimos meses de historial, saldo promedio y final, atraso promedio y atraso máximo.</w:t>
      </w:r>
    </w:p>
    <w:p w14:paraId="38165AC1" w14:textId="4CA45DE0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>• Creamos ratios de préstamo sobre ingreso, préstamo sobre saldo y tendencia del saldo; aplicamos logaritmos para comprimir valores extremos.</w:t>
      </w:r>
    </w:p>
    <w:p w14:paraId="4AD9ED80" w14:textId="25792CCE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>• Excluimos identificadores, fecha, objetivo y ratios originales para evitar fuga o información duplicada.</w:t>
      </w:r>
    </w:p>
    <w:p w14:paraId="2A8B3E75" w14:textId="5C8AF012" w:rsidR="000D3FD4" w:rsidRPr="00135CDA" w:rsidRDefault="000D3FD4" w:rsidP="00135CDA">
      <w:pPr>
        <w:pStyle w:val="Ttulo2"/>
        <w:rPr>
          <w:rFonts w:ascii="Arial" w:hAnsi="Arial" w:cs="Arial"/>
        </w:rPr>
      </w:pPr>
      <w:r w:rsidRPr="00135CDA">
        <w:rPr>
          <w:rFonts w:ascii="Arial" w:hAnsi="Arial" w:cs="Arial"/>
        </w:rPr>
        <w:t>Validación y experimentos</w:t>
      </w:r>
    </w:p>
    <w:p w14:paraId="083BB33D" w14:textId="45081BC7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 xml:space="preserve">La división fue 70 % para entrenamiento y 30 % para validación mediante </w:t>
      </w:r>
      <w:proofErr w:type="spellStart"/>
      <w:r w:rsidRPr="00135CDA">
        <w:rPr>
          <w:rFonts w:ascii="Arial" w:hAnsi="Arial" w:cs="Arial"/>
          <w:sz w:val="22"/>
          <w:szCs w:val="22"/>
        </w:rPr>
        <w:t>GroupShuffleSplit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por </w:t>
      </w:r>
      <w:proofErr w:type="spellStart"/>
      <w:r w:rsidRPr="00135CDA">
        <w:rPr>
          <w:rFonts w:ascii="Arial" w:hAnsi="Arial" w:cs="Arial"/>
          <w:sz w:val="22"/>
          <w:szCs w:val="22"/>
        </w:rPr>
        <w:t>ID_Usuario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: 22.562 y 9.854 filas, sin usuarios compartidos. El motivo del préstamo se codificó dentro de cada pipeline. La red MLP además usó </w:t>
      </w:r>
      <w:proofErr w:type="spellStart"/>
      <w:r w:rsidRPr="00135CDA">
        <w:rPr>
          <w:rFonts w:ascii="Arial" w:hAnsi="Arial" w:cs="Arial"/>
          <w:sz w:val="22"/>
          <w:szCs w:val="22"/>
        </w:rPr>
        <w:t>StandardScaler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, dos capas ocultas de 32 y 16 neuronas, </w:t>
      </w:r>
      <w:proofErr w:type="spellStart"/>
      <w:r w:rsidRPr="00135CDA">
        <w:rPr>
          <w:rFonts w:ascii="Arial" w:hAnsi="Arial" w:cs="Arial"/>
          <w:sz w:val="22"/>
          <w:szCs w:val="22"/>
        </w:rPr>
        <w:t>ReLU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, Adam y </w:t>
      </w:r>
      <w:proofErr w:type="spellStart"/>
      <w:r w:rsidRPr="00135CDA">
        <w:rPr>
          <w:rFonts w:ascii="Arial" w:hAnsi="Arial" w:cs="Arial"/>
          <w:sz w:val="22"/>
          <w:szCs w:val="22"/>
        </w:rPr>
        <w:t>early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CDA">
        <w:rPr>
          <w:rFonts w:ascii="Arial" w:hAnsi="Arial" w:cs="Arial"/>
          <w:sz w:val="22"/>
          <w:szCs w:val="22"/>
        </w:rPr>
        <w:t>stopping</w:t>
      </w:r>
      <w:proofErr w:type="spellEnd"/>
      <w:r w:rsidRPr="00135CDA">
        <w:rPr>
          <w:rFonts w:ascii="Arial" w:hAnsi="Arial" w:cs="Arial"/>
          <w:sz w:val="22"/>
          <w:szCs w:val="22"/>
        </w:rPr>
        <w:t>.</w:t>
      </w:r>
    </w:p>
    <w:p w14:paraId="236C58C4" w14:textId="3196D3AC" w:rsidR="000D3FD4" w:rsidRPr="00135CDA" w:rsidRDefault="000D3FD4" w:rsidP="00135CDA">
      <w:pPr>
        <w:spacing w:after="20"/>
        <w:ind w:left="238" w:hanging="136"/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2433233" wp14:editId="04956E2F">
            <wp:extent cx="6300000" cy="2716673"/>
            <wp:effectExtent l="0" t="0" r="5715" b="7620"/>
            <wp:docPr id="355643680" name="Imagen 1" descr="Comparación de ROC AUC y Brier score de los modelos evaluados en valid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3680" name="Imagen 1" descr="Comparación de ROC AUC y Brier score de los modelos evaluados en validación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A18E" w14:textId="5928D734" w:rsidR="000D3FD4" w:rsidRPr="00135CDA" w:rsidRDefault="000D3FD4" w:rsidP="00135CDA">
      <w:pPr>
        <w:ind w:left="238" w:hanging="136"/>
        <w:rPr>
          <w:rFonts w:ascii="Arial" w:hAnsi="Arial" w:cs="Arial"/>
          <w:color w:val="5A5A5A"/>
          <w:sz w:val="22"/>
          <w:szCs w:val="22"/>
        </w:rPr>
      </w:pPr>
      <w:r w:rsidRPr="00135CDA">
        <w:rPr>
          <w:rFonts w:ascii="Arial" w:hAnsi="Arial" w:cs="Arial"/>
          <w:color w:val="5A5A5A"/>
          <w:sz w:val="22"/>
          <w:szCs w:val="22"/>
        </w:rPr>
        <w:t>Comparación predictiva. En ROC AUC, más alto es mejor; en Brier score, más bajo es mejor.</w:t>
      </w:r>
    </w:p>
    <w:p w14:paraId="704DAA95" w14:textId="0F08EADF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 xml:space="preserve">Los experimentos descartados también aportaron información: el árbol sin límite </w:t>
      </w:r>
      <w:proofErr w:type="spellStart"/>
      <w:r w:rsidRPr="00135CDA">
        <w:rPr>
          <w:rFonts w:ascii="Arial" w:hAnsi="Arial" w:cs="Arial"/>
          <w:sz w:val="22"/>
          <w:szCs w:val="22"/>
        </w:rPr>
        <w:t>sobreajustó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(AUC 1,0000 en entrenamiento y 0,6282 en validación), aumentar Random Forest de 100 a 300 árboles casi no mejoró el resultado y </w:t>
      </w:r>
      <w:proofErr w:type="spellStart"/>
      <w:r w:rsidRPr="00135CDA">
        <w:rPr>
          <w:rFonts w:ascii="Arial" w:hAnsi="Arial" w:cs="Arial"/>
          <w:sz w:val="22"/>
          <w:szCs w:val="22"/>
        </w:rPr>
        <w:t>Gradient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CDA">
        <w:rPr>
          <w:rFonts w:ascii="Arial" w:hAnsi="Arial" w:cs="Arial"/>
          <w:sz w:val="22"/>
          <w:szCs w:val="22"/>
        </w:rPr>
        <w:t>Boosting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comenzó a </w:t>
      </w:r>
      <w:proofErr w:type="spellStart"/>
      <w:r w:rsidRPr="00135CDA">
        <w:rPr>
          <w:rFonts w:ascii="Arial" w:hAnsi="Arial" w:cs="Arial"/>
          <w:sz w:val="22"/>
          <w:szCs w:val="22"/>
        </w:rPr>
        <w:t>sobreajustar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al agregar demasiados árboles. La MLP logró el mejor AUC, 0,8475, mientras que </w:t>
      </w:r>
      <w:proofErr w:type="spellStart"/>
      <w:r w:rsidRPr="00135CDA">
        <w:rPr>
          <w:rFonts w:ascii="Arial" w:hAnsi="Arial" w:cs="Arial"/>
          <w:sz w:val="22"/>
          <w:szCs w:val="22"/>
        </w:rPr>
        <w:t>Gradient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CDA">
        <w:rPr>
          <w:rFonts w:ascii="Arial" w:hAnsi="Arial" w:cs="Arial"/>
          <w:sz w:val="22"/>
          <w:szCs w:val="22"/>
        </w:rPr>
        <w:t>Boosting</w:t>
      </w:r>
      <w:proofErr w:type="spellEnd"/>
      <w:r w:rsidRPr="00135CDA">
        <w:rPr>
          <w:rFonts w:ascii="Arial" w:hAnsi="Arial" w:cs="Arial"/>
          <w:sz w:val="22"/>
          <w:szCs w:val="22"/>
        </w:rPr>
        <w:t xml:space="preserve"> obtuvo el menor Brier, 0,0977.</w:t>
      </w:r>
    </w:p>
    <w:p w14:paraId="4F8005C4" w14:textId="7D6A16C7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br w:type="page"/>
      </w:r>
    </w:p>
    <w:p w14:paraId="69F8C3AE" w14:textId="53CFDA16" w:rsidR="000D3FD4" w:rsidRPr="00135CDA" w:rsidRDefault="000D3FD4" w:rsidP="00135CDA">
      <w:pPr>
        <w:pStyle w:val="Ttulo2"/>
        <w:rPr>
          <w:rFonts w:ascii="Arial" w:hAnsi="Arial" w:cs="Arial"/>
        </w:rPr>
      </w:pPr>
      <w:r w:rsidRPr="00135CDA">
        <w:rPr>
          <w:rFonts w:ascii="Arial" w:hAnsi="Arial" w:cs="Arial"/>
        </w:rPr>
        <w:lastRenderedPageBreak/>
        <w:t>Evaluación económica</w:t>
      </w:r>
    </w:p>
    <w:p w14:paraId="639FF368" w14:textId="7028CDB4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>No usamos un umbral fijo de 0,5. Para cada solicitud calculamos la ganancia esperada como la probabilidad de pago</w:t>
      </w:r>
      <w:r w:rsidR="00135CDA" w:rsidRPr="00135CDA">
        <w:rPr>
          <w:rFonts w:ascii="Arial" w:hAnsi="Arial" w:cs="Arial"/>
          <w:sz w:val="22"/>
          <w:szCs w:val="22"/>
        </w:rPr>
        <w:t xml:space="preserve"> </w:t>
      </w:r>
      <w:r w:rsidRPr="00135CDA">
        <w:rPr>
          <w:rFonts w:ascii="Arial" w:hAnsi="Arial" w:cs="Arial"/>
          <w:sz w:val="22"/>
          <w:szCs w:val="22"/>
        </w:rPr>
        <w:t>multiplicada por los intereses menos la probabilidad de default multiplicada por el capital. Descartamos valores negativos, ordenamos por retorno esperado y aprobamos préstamos mientras entraran en el presupuesto.</w:t>
      </w:r>
    </w:p>
    <w:p w14:paraId="46B7F6F9" w14:textId="504DD543" w:rsidR="000D3FD4" w:rsidRPr="00135CDA" w:rsidRDefault="000D3FD4" w:rsidP="00135CDA">
      <w:pPr>
        <w:spacing w:after="20"/>
        <w:ind w:left="238" w:hanging="136"/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FB51C4" wp14:editId="2DF8E471">
            <wp:extent cx="6300000" cy="2522359"/>
            <wp:effectExtent l="0" t="0" r="5715" b="0"/>
            <wp:docPr id="1789345788" name="Imagen 2" descr="Ganancia real, ROI y defaults de los modelos con el presupuesto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5788" name="Imagen 2" descr="Ganancia real, ROI y defaults de los modelos con el presupuesto disponibl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52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B0AE" w14:textId="1B91F9B2" w:rsidR="000D3FD4" w:rsidRPr="00135CDA" w:rsidRDefault="000D3FD4" w:rsidP="00135CDA">
      <w:pPr>
        <w:ind w:left="238" w:hanging="136"/>
        <w:rPr>
          <w:rFonts w:ascii="Arial" w:hAnsi="Arial" w:cs="Arial"/>
          <w:color w:val="5A5A5A"/>
          <w:sz w:val="22"/>
          <w:szCs w:val="22"/>
        </w:rPr>
      </w:pPr>
      <w:r w:rsidRPr="00135CDA">
        <w:rPr>
          <w:rFonts w:ascii="Arial" w:hAnsi="Arial" w:cs="Arial"/>
          <w:color w:val="5A5A5A"/>
          <w:sz w:val="22"/>
          <w:szCs w:val="22"/>
        </w:rPr>
        <w:t>Resultado de aplicar la misma regla económica a todos los modelos sobre validación.</w:t>
      </w:r>
    </w:p>
    <w:p w14:paraId="126BD059" w14:textId="4345F504" w:rsidR="000D3FD4" w:rsidRPr="00135CDA" w:rsidRDefault="000D3FD4" w:rsidP="00135CDA">
      <w:pPr>
        <w:pStyle w:val="Ttulo2"/>
        <w:rPr>
          <w:rFonts w:ascii="Arial" w:hAnsi="Arial" w:cs="Arial"/>
        </w:rPr>
      </w:pPr>
      <w:r w:rsidRPr="00135CDA">
        <w:rPr>
          <w:rFonts w:ascii="Arial" w:hAnsi="Arial" w:cs="Arial"/>
        </w:rPr>
        <w:t>Decisión final y aplicación</w:t>
      </w:r>
    </w:p>
    <w:p w14:paraId="05ECEDD2" w14:textId="6D7D0609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>La MLP fue la mejor en ROC AUC y no registró defaults en los préstamos seleccionados, pero el árbol ajustado alcanzó la mayor ganancia real y el mayor ROI. Como la consigna prioriza la rentabilidad bajo una restricción de capital, elegimos el árbol con profundidad 5 y un mínimo de 100 observaciones por hoja.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4" w:type="dxa"/>
          <w:left w:w="60" w:type="dxa"/>
          <w:bottom w:w="44" w:type="dxa"/>
          <w:right w:w="60" w:type="dxa"/>
        </w:tblCellMar>
        <w:tblLook w:val="0000" w:firstRow="0" w:lastRow="0" w:firstColumn="0" w:lastColumn="0" w:noHBand="0" w:noVBand="0"/>
      </w:tblPr>
      <w:tblGrid>
        <w:gridCol w:w="1413"/>
        <w:gridCol w:w="1592"/>
        <w:gridCol w:w="1243"/>
        <w:gridCol w:w="1592"/>
        <w:gridCol w:w="2154"/>
        <w:gridCol w:w="1587"/>
      </w:tblGrid>
      <w:tr w:rsidR="000D3FD4" w:rsidRPr="00135CDA" w14:paraId="2CAABE30" w14:textId="77777777" w:rsidTr="00937722">
        <w:trPr>
          <w:tblHeader/>
        </w:trPr>
        <w:tc>
          <w:tcPr>
            <w:tcW w:w="1413" w:type="dxa"/>
            <w:shd w:val="clear" w:color="auto" w:fill="17365D"/>
          </w:tcPr>
          <w:p w14:paraId="7164BD0B" w14:textId="42F33BBF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Evaluación</w:t>
            </w:r>
          </w:p>
        </w:tc>
        <w:tc>
          <w:tcPr>
            <w:tcW w:w="1592" w:type="dxa"/>
            <w:shd w:val="clear" w:color="auto" w:fill="17365D"/>
          </w:tcPr>
          <w:p w14:paraId="40B55305" w14:textId="0847DC77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Modelo</w:t>
            </w:r>
          </w:p>
        </w:tc>
        <w:tc>
          <w:tcPr>
            <w:tcW w:w="1243" w:type="dxa"/>
            <w:shd w:val="clear" w:color="auto" w:fill="17365D"/>
          </w:tcPr>
          <w:p w14:paraId="073EC2C2" w14:textId="47E17F0C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Aprobados</w:t>
            </w:r>
          </w:p>
        </w:tc>
        <w:tc>
          <w:tcPr>
            <w:tcW w:w="1592" w:type="dxa"/>
            <w:shd w:val="clear" w:color="auto" w:fill="17365D"/>
          </w:tcPr>
          <w:p w14:paraId="0DC23B16" w14:textId="30D3C394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Capital</w:t>
            </w:r>
          </w:p>
        </w:tc>
        <w:tc>
          <w:tcPr>
            <w:tcW w:w="2154" w:type="dxa"/>
            <w:shd w:val="clear" w:color="auto" w:fill="17365D"/>
          </w:tcPr>
          <w:p w14:paraId="6F616DB7" w14:textId="4702E4E6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Ganancia</w:t>
            </w:r>
          </w:p>
        </w:tc>
        <w:tc>
          <w:tcPr>
            <w:tcW w:w="1587" w:type="dxa"/>
            <w:shd w:val="clear" w:color="auto" w:fill="17365D"/>
          </w:tcPr>
          <w:p w14:paraId="07BB0490" w14:textId="5514271E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ROI / defaults</w:t>
            </w:r>
          </w:p>
        </w:tc>
      </w:tr>
      <w:tr w:rsidR="000D3FD4" w:rsidRPr="00135CDA" w14:paraId="54E04841" w14:textId="77777777" w:rsidTr="00937722">
        <w:tc>
          <w:tcPr>
            <w:tcW w:w="1413" w:type="dxa"/>
            <w:tcBorders>
              <w:bottom w:val="single" w:sz="4" w:space="0" w:color="D9D9D9"/>
            </w:tcBorders>
            <w:vAlign w:val="center"/>
          </w:tcPr>
          <w:p w14:paraId="2D4F01EB" w14:textId="012D8265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Validación</w:t>
            </w:r>
          </w:p>
        </w:tc>
        <w:tc>
          <w:tcPr>
            <w:tcW w:w="1592" w:type="dxa"/>
            <w:tcBorders>
              <w:bottom w:val="single" w:sz="4" w:space="0" w:color="D9D9D9"/>
            </w:tcBorders>
            <w:vAlign w:val="center"/>
          </w:tcPr>
          <w:p w14:paraId="4B095CFA" w14:textId="49EFFDA9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Árbol ajustado</w:t>
            </w:r>
          </w:p>
        </w:tc>
        <w:tc>
          <w:tcPr>
            <w:tcW w:w="1243" w:type="dxa"/>
            <w:tcBorders>
              <w:bottom w:val="single" w:sz="4" w:space="0" w:color="D9D9D9"/>
            </w:tcBorders>
            <w:vAlign w:val="center"/>
          </w:tcPr>
          <w:p w14:paraId="4140BD09" w14:textId="16E3133E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86</w:t>
            </w:r>
          </w:p>
        </w:tc>
        <w:tc>
          <w:tcPr>
            <w:tcW w:w="1592" w:type="dxa"/>
            <w:tcBorders>
              <w:bottom w:val="single" w:sz="4" w:space="0" w:color="D9D9D9"/>
            </w:tcBorders>
            <w:vAlign w:val="center"/>
          </w:tcPr>
          <w:p w14:paraId="6BA0D06B" w14:textId="2065DE1C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USD 2.000.000</w:t>
            </w:r>
          </w:p>
        </w:tc>
        <w:tc>
          <w:tcPr>
            <w:tcW w:w="2154" w:type="dxa"/>
            <w:tcBorders>
              <w:bottom w:val="single" w:sz="4" w:space="0" w:color="D9D9D9"/>
            </w:tcBorders>
            <w:vAlign w:val="center"/>
          </w:tcPr>
          <w:p w14:paraId="13688406" w14:textId="7F068E91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Real: USD 637.570</w:t>
            </w:r>
          </w:p>
        </w:tc>
        <w:tc>
          <w:tcPr>
            <w:tcW w:w="1587" w:type="dxa"/>
            <w:tcBorders>
              <w:bottom w:val="single" w:sz="4" w:space="0" w:color="D9D9D9"/>
            </w:tcBorders>
            <w:vAlign w:val="center"/>
          </w:tcPr>
          <w:p w14:paraId="2B9D8411" w14:textId="39984BEF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31,88 % / 1</w:t>
            </w:r>
          </w:p>
        </w:tc>
      </w:tr>
      <w:tr w:rsidR="000D3FD4" w:rsidRPr="00937722" w14:paraId="349BB4F6" w14:textId="77777777" w:rsidTr="00937722">
        <w:tc>
          <w:tcPr>
            <w:tcW w:w="1413" w:type="dxa"/>
            <w:shd w:val="clear" w:color="auto" w:fill="EAF2F8"/>
            <w:vAlign w:val="center"/>
          </w:tcPr>
          <w:p w14:paraId="3B40DBC7" w14:textId="22A5E206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Validación</w:t>
            </w:r>
          </w:p>
        </w:tc>
        <w:tc>
          <w:tcPr>
            <w:tcW w:w="1592" w:type="dxa"/>
            <w:shd w:val="clear" w:color="auto" w:fill="EAF2F8"/>
            <w:vAlign w:val="center"/>
          </w:tcPr>
          <w:p w14:paraId="423C25ED" w14:textId="50DCBD9F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Red MLP</w:t>
            </w:r>
          </w:p>
        </w:tc>
        <w:tc>
          <w:tcPr>
            <w:tcW w:w="1243" w:type="dxa"/>
            <w:shd w:val="clear" w:color="auto" w:fill="EAF2F8"/>
            <w:vAlign w:val="center"/>
          </w:tcPr>
          <w:p w14:paraId="1887DDA0" w14:textId="3F635481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84</w:t>
            </w:r>
          </w:p>
        </w:tc>
        <w:tc>
          <w:tcPr>
            <w:tcW w:w="1592" w:type="dxa"/>
            <w:shd w:val="clear" w:color="auto" w:fill="EAF2F8"/>
            <w:vAlign w:val="center"/>
          </w:tcPr>
          <w:p w14:paraId="2F4E0583" w14:textId="60ADA73D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USD 1.999.800</w:t>
            </w:r>
          </w:p>
        </w:tc>
        <w:tc>
          <w:tcPr>
            <w:tcW w:w="2154" w:type="dxa"/>
            <w:shd w:val="clear" w:color="auto" w:fill="EAF2F8"/>
            <w:vAlign w:val="center"/>
          </w:tcPr>
          <w:p w14:paraId="5F3649E1" w14:textId="00F5A8DA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Real: USD 627.674</w:t>
            </w:r>
          </w:p>
        </w:tc>
        <w:tc>
          <w:tcPr>
            <w:tcW w:w="1587" w:type="dxa"/>
            <w:shd w:val="clear" w:color="auto" w:fill="EAF2F8"/>
            <w:vAlign w:val="center"/>
          </w:tcPr>
          <w:p w14:paraId="40BD2E08" w14:textId="6B5B76EE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31,39 % / 0</w:t>
            </w:r>
          </w:p>
        </w:tc>
      </w:tr>
      <w:tr w:rsidR="000D3FD4" w:rsidRPr="00135CDA" w14:paraId="3F0BCE39" w14:textId="77777777" w:rsidTr="00937722">
        <w:tc>
          <w:tcPr>
            <w:tcW w:w="1413" w:type="dxa"/>
            <w:vAlign w:val="center"/>
          </w:tcPr>
          <w:p w14:paraId="547A02DB" w14:textId="2EEE6A18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Test</w:t>
            </w:r>
          </w:p>
        </w:tc>
        <w:tc>
          <w:tcPr>
            <w:tcW w:w="1592" w:type="dxa"/>
            <w:vAlign w:val="center"/>
          </w:tcPr>
          <w:p w14:paraId="67CC5BF4" w14:textId="0B68F3D0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Árbol ajustado</w:t>
            </w:r>
          </w:p>
        </w:tc>
        <w:tc>
          <w:tcPr>
            <w:tcW w:w="1243" w:type="dxa"/>
            <w:vAlign w:val="center"/>
          </w:tcPr>
          <w:p w14:paraId="25F09C06" w14:textId="545E24EA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618</w:t>
            </w:r>
          </w:p>
        </w:tc>
        <w:tc>
          <w:tcPr>
            <w:tcW w:w="1592" w:type="dxa"/>
            <w:vAlign w:val="center"/>
          </w:tcPr>
          <w:p w14:paraId="1A9E59BD" w14:textId="3ABB013F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USD 1.999.700</w:t>
            </w:r>
          </w:p>
        </w:tc>
        <w:tc>
          <w:tcPr>
            <w:tcW w:w="2154" w:type="dxa"/>
            <w:vAlign w:val="center"/>
          </w:tcPr>
          <w:p w14:paraId="47E56D0B" w14:textId="332B985E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Esperada: USD 534.863</w:t>
            </w:r>
          </w:p>
        </w:tc>
        <w:tc>
          <w:tcPr>
            <w:tcW w:w="1587" w:type="dxa"/>
            <w:vAlign w:val="center"/>
          </w:tcPr>
          <w:p w14:paraId="4795207A" w14:textId="2A8116C1" w:rsidR="000D3FD4" w:rsidRPr="00135CDA" w:rsidRDefault="000D3FD4" w:rsidP="00135CDA">
            <w:pPr>
              <w:rPr>
                <w:rFonts w:ascii="Arial" w:hAnsi="Arial" w:cs="Arial"/>
                <w:sz w:val="22"/>
                <w:szCs w:val="22"/>
              </w:rPr>
            </w:pPr>
            <w:r w:rsidRPr="00135CDA">
              <w:rPr>
                <w:rFonts w:ascii="Arial" w:hAnsi="Arial" w:cs="Arial"/>
                <w:sz w:val="22"/>
                <w:szCs w:val="22"/>
              </w:rPr>
              <w:t>No disponible</w:t>
            </w:r>
          </w:p>
        </w:tc>
      </w:tr>
    </w:tbl>
    <w:p w14:paraId="4EE3C18C" w14:textId="77777777" w:rsidR="000D3FD4" w:rsidRPr="00135CDA" w:rsidRDefault="000D3FD4" w:rsidP="00135CDA">
      <w:pPr>
        <w:spacing w:after="60"/>
        <w:ind w:left="238" w:hanging="136"/>
        <w:rPr>
          <w:rFonts w:ascii="Arial" w:hAnsi="Arial" w:cs="Arial"/>
          <w:sz w:val="22"/>
          <w:szCs w:val="22"/>
        </w:rPr>
      </w:pPr>
    </w:p>
    <w:p w14:paraId="434298AA" w14:textId="519365DA" w:rsidR="000D3FD4" w:rsidRPr="00135CDA" w:rsidRDefault="000D3FD4" w:rsidP="00135CDA">
      <w:pPr>
        <w:pStyle w:val="Ttulo2"/>
        <w:rPr>
          <w:rFonts w:ascii="Arial" w:hAnsi="Arial" w:cs="Arial"/>
        </w:rPr>
      </w:pPr>
      <w:r w:rsidRPr="00135CDA">
        <w:rPr>
          <w:rFonts w:ascii="Arial" w:hAnsi="Arial" w:cs="Arial"/>
        </w:rPr>
        <w:t>Alcance y límites</w:t>
      </w:r>
    </w:p>
    <w:p w14:paraId="6F61A9D1" w14:textId="72E6FEB8" w:rsidR="000D3FD4" w:rsidRPr="00135CDA" w:rsidRDefault="000D3FD4" w:rsidP="00135CDA">
      <w:pPr>
        <w:rPr>
          <w:rFonts w:ascii="Arial" w:hAnsi="Arial" w:cs="Arial"/>
          <w:sz w:val="22"/>
          <w:szCs w:val="22"/>
        </w:rPr>
      </w:pPr>
      <w:r w:rsidRPr="00135CDA">
        <w:rPr>
          <w:rFonts w:ascii="Arial" w:hAnsi="Arial" w:cs="Arial"/>
          <w:sz w:val="22"/>
          <w:szCs w:val="22"/>
        </w:rPr>
        <w:t xml:space="preserve">El modelo final se reentrenó con las 32.416 solicitudes y se aplicó a 3.061 casos de test, sin faltantes, infinitos ni identificadores repetidos. </w:t>
      </w:r>
      <w:r w:rsidR="00135CDA" w:rsidRPr="00135CDA">
        <w:rPr>
          <w:rFonts w:ascii="Arial" w:hAnsi="Arial" w:cs="Arial"/>
          <w:sz w:val="22"/>
          <w:szCs w:val="22"/>
        </w:rPr>
        <w:t>Usamos la</w:t>
      </w:r>
      <w:r w:rsidRPr="00135CDA">
        <w:rPr>
          <w:rFonts w:ascii="Arial" w:hAnsi="Arial" w:cs="Arial"/>
          <w:sz w:val="22"/>
          <w:szCs w:val="22"/>
        </w:rPr>
        <w:t xml:space="preserve"> ganancia real de validación </w:t>
      </w:r>
      <w:r w:rsidR="00135CDA" w:rsidRPr="00135CDA">
        <w:rPr>
          <w:rFonts w:ascii="Arial" w:hAnsi="Arial" w:cs="Arial"/>
          <w:sz w:val="22"/>
          <w:szCs w:val="22"/>
        </w:rPr>
        <w:t>para</w:t>
      </w:r>
      <w:r w:rsidRPr="00135CDA">
        <w:rPr>
          <w:rFonts w:ascii="Arial" w:hAnsi="Arial" w:cs="Arial"/>
          <w:sz w:val="22"/>
          <w:szCs w:val="22"/>
        </w:rPr>
        <w:t xml:space="preserve"> comparar estrategias, </w:t>
      </w:r>
      <w:r w:rsidR="00135CDA" w:rsidRPr="00135CDA">
        <w:rPr>
          <w:rFonts w:ascii="Arial" w:hAnsi="Arial" w:cs="Arial"/>
          <w:sz w:val="22"/>
          <w:szCs w:val="22"/>
        </w:rPr>
        <w:t>(aunque no</w:t>
      </w:r>
      <w:r w:rsidRPr="00135CDA">
        <w:rPr>
          <w:rFonts w:ascii="Arial" w:hAnsi="Arial" w:cs="Arial"/>
          <w:sz w:val="22"/>
          <w:szCs w:val="22"/>
        </w:rPr>
        <w:t xml:space="preserve"> garantiza</w:t>
      </w:r>
      <w:r w:rsidR="00135CDA" w:rsidRPr="00135CDA">
        <w:rPr>
          <w:rFonts w:ascii="Arial" w:hAnsi="Arial" w:cs="Arial"/>
          <w:sz w:val="22"/>
          <w:szCs w:val="22"/>
        </w:rPr>
        <w:t>ba</w:t>
      </w:r>
      <w:r w:rsidRPr="00135CDA">
        <w:rPr>
          <w:rFonts w:ascii="Arial" w:hAnsi="Arial" w:cs="Arial"/>
          <w:sz w:val="22"/>
          <w:szCs w:val="22"/>
        </w:rPr>
        <w:t xml:space="preserve"> el rendimiento futuro</w:t>
      </w:r>
      <w:r w:rsidR="00135CDA" w:rsidRPr="00135CDA">
        <w:rPr>
          <w:rFonts w:ascii="Arial" w:hAnsi="Arial" w:cs="Arial"/>
          <w:sz w:val="22"/>
          <w:szCs w:val="22"/>
        </w:rPr>
        <w:t>)</w:t>
      </w:r>
      <w:r w:rsidRPr="00135CDA">
        <w:rPr>
          <w:rFonts w:ascii="Arial" w:hAnsi="Arial" w:cs="Arial"/>
          <w:sz w:val="22"/>
          <w:szCs w:val="22"/>
        </w:rPr>
        <w:t>. En test solamente informamos ganancia esperada porque todavía no se conoce el resultado de pago.</w:t>
      </w:r>
    </w:p>
    <w:p w14:paraId="78B3353B" w14:textId="77777777" w:rsidR="000D3FD4" w:rsidRPr="00135CDA" w:rsidRDefault="000D3FD4" w:rsidP="00135CDA">
      <w:pPr>
        <w:spacing w:after="0"/>
        <w:ind w:left="238" w:hanging="136"/>
        <w:rPr>
          <w:rFonts w:ascii="Arial" w:hAnsi="Arial" w:cs="Arial"/>
          <w:sz w:val="22"/>
          <w:szCs w:val="22"/>
        </w:rPr>
      </w:pPr>
    </w:p>
    <w:sectPr w:rsidR="000D3FD4" w:rsidRPr="00135CDA" w:rsidSect="000D3F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79" w:bottom="652" w:left="87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30779" w14:textId="77777777" w:rsidR="00F321E7" w:rsidRDefault="00F321E7" w:rsidP="000D3FD4">
      <w:pPr>
        <w:spacing w:after="0"/>
      </w:pPr>
      <w:r>
        <w:separator/>
      </w:r>
    </w:p>
  </w:endnote>
  <w:endnote w:type="continuationSeparator" w:id="0">
    <w:p w14:paraId="681CB596" w14:textId="77777777" w:rsidR="00F321E7" w:rsidRDefault="00F321E7" w:rsidP="000D3F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11F83" w14:textId="77777777" w:rsidR="000D3FD4" w:rsidRDefault="000D3FD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5F13" w14:textId="360FA7C8" w:rsidR="000D3FD4" w:rsidRPr="000D3FD4" w:rsidRDefault="000D3FD4" w:rsidP="000D3FD4">
    <w:pPr>
      <w:pStyle w:val="Piedepgina"/>
      <w:jc w:val="center"/>
      <w:rPr>
        <w:color w:val="646464"/>
        <w:sz w:val="15"/>
      </w:rPr>
    </w:pPr>
    <w:r w:rsidRPr="000D3FD4">
      <w:rPr>
        <w:color w:val="646464"/>
        <w:sz w:val="15"/>
      </w:rPr>
      <w:t xml:space="preserve">TP3  |  Informe final  |  Página </w:t>
    </w:r>
    <w:r>
      <w:rPr>
        <w:color w:val="646464"/>
        <w:sz w:val="15"/>
      </w:rPr>
      <w:fldChar w:fldCharType="begin"/>
    </w:r>
    <w:r>
      <w:rPr>
        <w:color w:val="646464"/>
        <w:sz w:val="15"/>
      </w:rPr>
      <w:instrText xml:space="preserve"> PAGE  \* MERGEFORMAT </w:instrText>
    </w:r>
    <w:r>
      <w:rPr>
        <w:color w:val="646464"/>
        <w:sz w:val="15"/>
      </w:rPr>
      <w:fldChar w:fldCharType="separate"/>
    </w:r>
    <w:r>
      <w:rPr>
        <w:noProof/>
        <w:color w:val="646464"/>
        <w:sz w:val="15"/>
      </w:rPr>
      <w:t>1</w:t>
    </w:r>
    <w:r>
      <w:rPr>
        <w:color w:val="646464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76D5" w14:textId="77777777" w:rsidR="000D3FD4" w:rsidRDefault="000D3F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204D" w14:textId="77777777" w:rsidR="00F321E7" w:rsidRDefault="00F321E7" w:rsidP="000D3FD4">
      <w:pPr>
        <w:spacing w:after="0"/>
      </w:pPr>
      <w:r>
        <w:separator/>
      </w:r>
    </w:p>
  </w:footnote>
  <w:footnote w:type="continuationSeparator" w:id="0">
    <w:p w14:paraId="69041B96" w14:textId="77777777" w:rsidR="00F321E7" w:rsidRDefault="00F321E7" w:rsidP="000D3F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4025C" w14:textId="77777777" w:rsidR="000D3FD4" w:rsidRDefault="000D3FD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91610" w14:textId="77777777" w:rsidR="000D3FD4" w:rsidRDefault="000D3FD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0B3FD" w14:textId="77777777" w:rsidR="000D3FD4" w:rsidRDefault="000D3FD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D4"/>
    <w:rsid w:val="00033099"/>
    <w:rsid w:val="000D3FD4"/>
    <w:rsid w:val="00135CDA"/>
    <w:rsid w:val="004457DD"/>
    <w:rsid w:val="00483BAE"/>
    <w:rsid w:val="00937722"/>
    <w:rsid w:val="00CB5875"/>
    <w:rsid w:val="00E54367"/>
    <w:rsid w:val="00F3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62213C"/>
  <w15:chartTrackingRefBased/>
  <w15:docId w15:val="{0C89CC48-7209-471F-9B78-7A978109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0D3FD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3FD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FD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F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FD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F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F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FD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3FD4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D3FD4"/>
    <w:rPr>
      <w:rFonts w:ascii="Aptos" w:hAnsi="Aptos"/>
      <w:sz w:val="19"/>
    </w:rPr>
  </w:style>
  <w:style w:type="paragraph" w:styleId="Piedepgina">
    <w:name w:val="footer"/>
    <w:basedOn w:val="Normal"/>
    <w:link w:val="PiedepginaCar"/>
    <w:uiPriority w:val="99"/>
    <w:unhideWhenUsed/>
    <w:rsid w:val="000D3FD4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FD4"/>
    <w:rPr>
      <w:rFonts w:ascii="Aptos" w:hAnsi="Apto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María Gómez</dc:creator>
  <cp:keywords/>
  <dc:description/>
  <cp:lastModifiedBy>Luis María Gómez</cp:lastModifiedBy>
  <cp:revision>4</cp:revision>
  <dcterms:created xsi:type="dcterms:W3CDTF">2026-10-25T00:16:00Z</dcterms:created>
  <dcterms:modified xsi:type="dcterms:W3CDTF">2026-10-25T00:29:00Z</dcterms:modified>
</cp:coreProperties>
</file>