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 — PROJETO DE EXTENSÃO II (ESTUDO DE CASO SIMULADO)</w:t>
      </w:r>
    </w:p>
    <w:p>
      <w:r>
        <w:rPr>
          <w:b w:val="0"/>
          <w:sz w:val="22"/>
        </w:rPr>
        <w:t>ALUNO: Luís Felipe de Oliveira Monteiro</w:t>
      </w:r>
    </w:p>
    <w:p>
      <w:r>
        <w:rPr>
          <w:b w:val="0"/>
          <w:sz w:val="22"/>
        </w:rPr>
        <w:t>RA: 3823284706</w:t>
      </w:r>
    </w:p>
    <w:p>
      <w:r>
        <w:rPr>
          <w:b w:val="0"/>
          <w:sz w:val="22"/>
        </w:rPr>
        <w:t>POLO / UNIDADE: Polo Franca</w:t>
      </w:r>
    </w:p>
    <w:p>
      <w:r>
        <w:rPr>
          <w:b w:val="0"/>
          <w:sz w:val="22"/>
        </w:rPr>
        <w:t>CURSO: CST EM ANÁLISE E DESENVOLVIMENTO DE SISTEMAS</w:t>
      </w:r>
    </w:p>
    <w:p>
      <w:r>
        <w:rPr>
          <w:b w:val="0"/>
          <w:sz w:val="22"/>
        </w:rPr>
        <w:t>COMPONENTE CURRICULAR: PROJETO DE EXTENSÃO II - ANÁLISE E DESENVOLVIMENTO DE SISTEMAS</w:t>
      </w:r>
    </w:p>
    <w:p>
      <w:r>
        <w:rPr>
          <w:b w:val="0"/>
          <w:sz w:val="22"/>
        </w:rPr>
        <w:t>PROGRAMA DE EXTENSÃO: PROGRAMA DE AÇÃO E DIFUSÃO CULTURAL.</w:t>
      </w:r>
    </w:p>
    <w:p>
      <w:r>
        <w:rPr>
          <w:b/>
          <w:sz w:val="22"/>
        </w:rPr>
        <w:t>DECLARAÇÃO DE ESTUDO DE CASO SIMULADO: conforme autorização do(a) tutor(a) do componente, este trabalho foi desenvolvido como simulação didática. O parceiro, as pessoas, a entrevista, os indicadores e o cronograma descritos são hipotéticos e servem para exercitar as competências do componente (requisitos, interfaces, gerência de projetos). Não houve ação executada com instituição real, e nenhum depoimento institucional é apresentado como verídico.</w:t>
      </w:r>
    </w:p>
    <w:p>
      <w:pPr>
        <w:pStyle w:val="Heading1"/>
      </w:pPr>
      <w:r>
        <w:t>DESCRIÇÃO DA AÇÃO COM RESULTADOS ALCANÇADOS</w:t>
      </w:r>
    </w:p>
    <w:p>
      <w:pPr>
        <w:pStyle w:val="Heading2"/>
      </w:pPr>
      <w:r>
        <w:t>Metas dos Objetivos de Desenvolvimento Sustentável (ODS) aderentes a este projeto</w:t>
      </w:r>
    </w:p>
    <w:p>
      <w:r>
        <w:rPr>
          <w:b w:val="0"/>
          <w:sz w:val="22"/>
        </w:rPr>
        <w:t>ODS 8 — Trabalho decente e crescimento econômico — Meta 8.3: promover políticas que apoiem micro e pequenos empreendimentos e o empreendedorismo. Articulação: visibilidade digital e organização das inscrições de artesãos do couro em feiras de Franca.</w:t>
      </w:r>
    </w:p>
    <w:p>
      <w:r>
        <w:rPr>
          <w:b w:val="0"/>
          <w:sz w:val="22"/>
        </w:rPr>
        <w:t>ODS 11 — Cidades e comunidades sustentáveis — Meta 11.4: reforçar esforços para proteger e salvaguardar o patrimônio cultural. Articulação: divulgar o saber-fazer do couro artesanal, identidade cultural de Franca/SP.</w:t>
      </w:r>
    </w:p>
    <w:p>
      <w:r>
        <w:rPr>
          <w:b w:val="0"/>
          <w:sz w:val="22"/>
        </w:rPr>
        <w:t>ODS 4 — Educação de qualidade — Meta 4.4: aumentar competências técnicas e profissionais para emprego e empreendedorismo. Articulação: capacitação de coordenadores do coletivo no uso de página web e formulário digital.</w:t>
      </w:r>
    </w:p>
    <w:p>
      <w:pPr>
        <w:pStyle w:val="Heading2"/>
      </w:pPr>
      <w:r>
        <w:t>Local de realização da atividade extensionista</w:t>
      </w:r>
    </w:p>
    <w:p>
      <w:r>
        <w:rPr>
          <w:b w:val="0"/>
          <w:sz w:val="22"/>
        </w:rPr>
        <w:t>Estudo desenvolvido de forma remota pelo aluno, vinculado ao Polo Franca, em Franca/SP. O cenário simulado situa o parceiro hipotético (Coletivo Artesanal Couro &amp; Raízes) em ateliê de artesãos de couro e em feira cultural em espaço público municipal de Franca. Não houve deslocamento nem atividade presencial com instituição real.</w:t>
      </w:r>
    </w:p>
    <w:p>
      <w:pPr>
        <w:pStyle w:val="Heading2"/>
      </w:pPr>
      <w:r>
        <w:t>Durante a ação</w:t>
      </w:r>
    </w:p>
    <w:p>
      <w:r>
        <w:rPr>
          <w:b w:val="0"/>
          <w:sz w:val="22"/>
        </w:rPr>
        <w:t>O estudo de caso partiu de um cenário plausível para Franca: um coletivo informal de cerca de 20 artesãos de couro que participa de feiras culturais e sofre com informações dispersas e inscrições em papel. Sobre esse cenário, aplicou-se o processo de software previsto no componente: roteiro de entrevista de imersão respondido de forma simulada; documento com 10 requisitos funcionais e 5 não funcionais; ideação com três alternativas; wireframes e protótipo Figma (desktop e mobile), seguindo orientações de projeto de interface (SEGURAGO, 2017) e de desenvolvimento voltado a dispositivos móveis (CAMDEN; MATTHEWS, 2012); estrutura de landing page estática e modelo de Google Forms com consentimento conforme a LGPD (BRASIL, 2018); manual do gestor e roteiro de oficina de 3 horas.</w:t>
      </w:r>
    </w:p>
    <w:p>
      <w:r>
        <w:rPr>
          <w:b w:val="0"/>
          <w:sz w:val="22"/>
        </w:rPr>
        <w:t>PER. 1: construção do cenário, aplicação do roteiro de imersão e requisitos v1.0.</w:t>
      </w:r>
    </w:p>
    <w:p>
      <w:r>
        <w:rPr>
          <w:b w:val="0"/>
          <w:sz w:val="22"/>
        </w:rPr>
        <w:t>PER. 2: benchmark de páginas de feiras culturais, escolha da alternativa landing + Forms, wireframes e protótipo.</w:t>
      </w:r>
    </w:p>
    <w:p>
      <w:r>
        <w:rPr>
          <w:b w:val="0"/>
          <w:sz w:val="22"/>
        </w:rPr>
        <w:t>PER. 3: estrutura da página, modelo do formulário e checklist de testes (responsividade, contraste, LGPD).</w:t>
      </w:r>
    </w:p>
    <w:p>
      <w:r>
        <w:rPr>
          <w:b w:val="0"/>
          <w:sz w:val="22"/>
        </w:rPr>
        <w:t>PER. 4: manual do gestor, roteiro da capacitação, consolidação do PDCA e deste relatório.</w:t>
      </w:r>
    </w:p>
    <w:p>
      <w:pPr>
        <w:pStyle w:val="Heading2"/>
      </w:pPr>
      <w:r>
        <w:t>Caso necessário, houve mudança de estratégia para alcançar o resultado</w:t>
      </w:r>
    </w:p>
    <w:p>
      <w:r>
        <w:rPr>
          <w:b w:val="0"/>
          <w:sz w:val="22"/>
        </w:rPr>
        <w:t>Sim, em dois momentos. Primeiro, a solução prevista em WordPress foi substituída por landing page estática com Google Forms, por exigir menos manutenção e reduzir riscos de segurança para um coletivo sem equipe de TI. Segundo, diante da impossibilidade de firmar parceria com instituição cultural no prazo do componente, o projeto foi convertido, com autorização do tutor, em estudo de caso simulado, preservando os artefatos de engenharia de requisitos, projeto de interface e gerência de projeto.</w:t>
      </w:r>
    </w:p>
    <w:p>
      <w:pPr>
        <w:pStyle w:val="Heading2"/>
      </w:pPr>
      <w:r>
        <w:t>Resultado da ação</w:t>
      </w:r>
    </w:p>
    <w:p>
      <w:r>
        <w:rPr>
          <w:b w:val="0"/>
          <w:sz w:val="22"/>
        </w:rPr>
        <w:t>Artefatos produzidos: documento de requisitos com 10 RF e 5 RNF (ex.: RF01 – exibir data, local e mapa da próxima feira; RF04 – inscrição de expositor com termo de consentimento; RF07 – galeria de peças em couro; RNF01 – layout responsivo; RNF03 – contraste mínimo WCAG AA; RNF04 – respostas acessíveis apenas aos coordenadores); wireframes e protótipo Figma com três telas; estrutura da landing page e modelo do formulário de inscrição com termo de consentimento; manual do gestor; roteiro de oficina; cronograma em quatro períodos e ciclo PDCA completo. Indicadores projetados para uma execução real: canal único de informação ativo; meta de 12 inscrições organizadas por feira (contra ~6 em papel no cenário); meta de 500 visualizações no primeiro mês; 2 coordenadores capacitados. Não há resultados de campo, pois a ação não foi executada com parceiro real.</w:t>
      </w:r>
    </w:p>
    <w:p>
      <w:pPr>
        <w:pStyle w:val="Heading2"/>
      </w:pPr>
      <w:r>
        <w:t>Conclusão</w:t>
      </w:r>
    </w:p>
    <w:p>
      <w:r>
        <w:rPr>
          <w:b w:val="0"/>
          <w:sz w:val="22"/>
        </w:rPr>
        <w:t>O estudo de caso permitiu exercitar de forma integrada as competências do componente: seleção de ferramentas adequadas ao contexto (solução estática e gratuita), gerência de projeto em ciclo PDCA com mudanças de estratégia documentadas e especificação de requisitos e interfaces orientada a um público com baixa familiaridade digital. Os ODS 8.3, 11.4 e 4.4 foram articulados ao cenário do couro artesanal de Franca, em consonância com a Agenda 2030 (ONU, 2015). O plano está pronto para execução real em um próximo ciclo, com parceiro local, publicação da página e coleta de indicadores e depoimento.</w:t>
      </w:r>
    </w:p>
    <w:p>
      <w:pPr>
        <w:pStyle w:val="Heading2"/>
      </w:pPr>
      <w:r>
        <w:t>Depoimentos (se houver)</w:t>
      </w:r>
    </w:p>
    <w:p>
      <w:r>
        <w:rPr>
          <w:b w:val="0"/>
          <w:sz w:val="22"/>
        </w:rPr>
        <w:t>Não se aplica: estudo de caso simulado, sem participação de pessoas externas.</w:t>
      </w:r>
    </w:p>
    <w:p>
      <w:pPr>
        <w:pStyle w:val="Heading1"/>
      </w:pPr>
      <w:r>
        <w:t>RELATE SUA PERCEPÇÃO DAS AÇÕES EXTENSIONISTAS (mínimo 15 linhas)</w:t>
      </w:r>
    </w:p>
    <w:p>
      <w:r>
        <w:rPr>
          <w:b w:val="0"/>
          <w:sz w:val="22"/>
        </w:rPr>
        <w:t>Desenvolver este projeto como estudo de caso simulado foi diferente do que eu imaginava para uma atividade de extensão, e a primeira lição veio justamente da dificuldade de firmar uma parceria no prazo. Percebi que gerência de projeto não é só cronograma: é reconhecer cedo um risco (a falta de parceiro), comunicar ao tutor e replanejar sem perder o objetivo de aprendizagem. Essa decisão, registrada no CHECK do PDCA, foi provavelmente o momento mais formativo do semestre.</w:t>
      </w:r>
    </w:p>
    <w:p>
      <w:r>
        <w:rPr>
          <w:b w:val="0"/>
          <w:sz w:val="22"/>
        </w:rPr>
        <w:t>Escolhi o couro artesanal de Franca como cenário porque é a identidade cultural da cidade onde estudo. Construir o perfil do parceiro hipotético me obrigou a pensar como um analista: quem são os usuários, o que eles sabem usar, quanto tempo têm, que dados pessoais circulam numa inscrição de feira. Transformar "precisamos aparecer mais" em dez requisitos funcionais e cinco não funcionais foi um exercício concreto de engenharia de requisitos, e o mais difícil foi cortar: a primeira lista tinha o dobro de itens e não cabia no que dois coordenadores voluntários conseguiriam manter.</w:t>
      </w:r>
    </w:p>
    <w:p>
      <w:r>
        <w:rPr>
          <w:b w:val="0"/>
          <w:sz w:val="22"/>
        </w:rPr>
        <w:t>Na ideação, comparar WordPress, redes sociais isoladas e uma página estática com formulário me mostrou que a melhor tecnologia é a que o parceiro sustenta sozinho depois que o aluno vai embora. Prototipar no Figma aplicando princípios de interação humano-computador (BENYON, 2011), como hierarquia visual e botões amplos para leitura no celular, deixou claro que interface é também inclusão. Ao desenhar o formulário, a LGPD deixou de ser um artigo de lei e virou uma decisão de projeto: quais campos são realmente necessários e quem pode ver as respostas.</w:t>
      </w:r>
    </w:p>
    <w:p>
      <w:r>
        <w:rPr>
          <w:b w:val="0"/>
          <w:sz w:val="22"/>
        </w:rPr>
        <w:t>Fica a frustração honesta de não ter visto artesãos usando a página, e a consciência de que a extensão só se completa no contato com a comunidade. Ainda assim, saio com um plano executável, artefatos revisáveis e a compreensão de que processo de software, conforme Pressman e Maxim (2016) e como estudado nas disciplinas de Engenharia de Software, IHC e Gestão de Projetos, é iterativo: este ciclo terminou em planejamento validado, e o próximo pode começar em campo. Se eu refizesse o semestre, iniciaria a busca pelo parceiro na primeira semana, antes de qualquer protótipo.</w:t>
      </w:r>
    </w:p>
    <w:p>
      <w:pPr>
        <w:pStyle w:val="Heading1"/>
      </w:pPr>
      <w:r>
        <w:t>DEPOIMENTO DA INSTITUIÇÃO PARTICIPANTE</w:t>
      </w:r>
    </w:p>
    <w:p>
      <w:r>
        <w:rPr>
          <w:b w:val="0"/>
          <w:sz w:val="22"/>
        </w:rPr>
        <w:t>Não se aplica. Este trabalho é um estudo de caso simulado, autorizado pelo(a) tutor(a) do componente, sem participação de instituição real. Em uma execução futura, o depoimento será coletado com o(a) coordenador(a) do parceiro, identificando nome, função, contato e data, e anexado ao AVA com o termo de parceria.</w:t>
      </w:r>
    </w:p>
    <w:p>
      <w:r>
        <w:rPr>
          <w:b w:val="0"/>
          <w:sz w:val="22"/>
        </w:rPr>
        <w:t>Registro da autorização: concedida pelo(a) tutor(a) do componente por mensagem no AVA, em 04/10/2026.</w:t>
      </w:r>
    </w:p>
    <w:p>
      <w:pPr>
        <w:pStyle w:val="Heading1"/>
      </w:pPr>
      <w:r>
        <w:t>REFERÊNCIAS BIBLIOGRÁFICAS (ABNT)</w:t>
      </w:r>
    </w:p>
    <w:p>
      <w:r>
        <w:rPr>
          <w:b w:val="0"/>
          <w:sz w:val="22"/>
        </w:rPr>
        <w:t>BENYON, David. Interação humano-computador. 2. ed. São Paulo: Pearson, 2011.</w:t>
      </w:r>
    </w:p>
    <w:p>
      <w:r>
        <w:rPr>
          <w:b w:val="0"/>
          <w:sz w:val="22"/>
        </w:rPr>
        <w:t>BRASIL. Lei nº 13.709, de 14 de agosto de 2018. Lei Geral de Proteção de Dados Pessoais (LGPD). Diário Oficial da União: seção 1, Brasília, DF, 15 ago. 2018. Disponível em: https://www.planalto.gov.br/ccivil_03/_ato2015-2018/2018/lei/l13709.htm. Acesso em: 28 set. 2026.</w:t>
      </w:r>
    </w:p>
    <w:p>
      <w:r>
        <w:rPr>
          <w:b w:val="0"/>
          <w:sz w:val="22"/>
        </w:rPr>
        <w:t>CAMDEN, Raymond; MATTHEWS, Andy. jQuery Mobile Web Development Essentials. Olton: Packt Publishing, 2012.</w:t>
      </w:r>
    </w:p>
    <w:p>
      <w:r>
        <w:rPr>
          <w:b w:val="0"/>
          <w:sz w:val="22"/>
        </w:rPr>
        <w:t>ONU — ORGANIZAÇÃO DAS NAÇÕES UNIDAS. Transformando nosso mundo: a Agenda 2030 para o Desenvolvimento Sustentável. Nova York: ONU, 2015. Disponível em: https://brasil.un.org/sites/default/files/2020-09/agenda2030-pt-br.pdf. Acesso em: 28 set. 2026.</w:t>
      </w:r>
    </w:p>
    <w:p>
      <w:r>
        <w:rPr>
          <w:b w:val="0"/>
          <w:sz w:val="22"/>
        </w:rPr>
        <w:t>PRESSMAN, Roger S.; MAXIM, Bruce R. Engenharia de software: uma abordagem profissional. 8. ed. Porto Alegre: AMGH, 2016.</w:t>
      </w:r>
    </w:p>
    <w:p>
      <w:r>
        <w:rPr>
          <w:b w:val="0"/>
          <w:sz w:val="22"/>
        </w:rPr>
        <w:t>SEGURAGO, Valquíria Santos. Projeto de interface com o usuário. São Paulo: Pearson, 2017.</w:t>
      </w:r>
    </w:p>
    <w:p>
      <w:pPr>
        <w:pStyle w:val="Heading1"/>
      </w:pPr>
      <w:r>
        <w:t>AUTOAVALIAÇÃO DA ATIVIDADE (escala de 0 a 10)</w:t>
      </w:r>
    </w:p>
    <w:p>
      <w:r>
        <w:rPr>
          <w:b w:val="0"/>
          <w:sz w:val="22"/>
        </w:rPr>
        <w:t>1. A atividade permitiu o desenvolvimento do projeto articulando competências e conteúdos do Curso? Nota: 9</w:t>
      </w:r>
    </w:p>
    <w:p>
      <w:r>
        <w:rPr>
          <w:b w:val="0"/>
          <w:sz w:val="22"/>
        </w:rPr>
        <w:t>2. A atividade possui carga horária suficiente para a sua realização? Nota: 8</w:t>
      </w:r>
    </w:p>
    <w:p>
      <w:r>
        <w:rPr>
          <w:b w:val="0"/>
          <w:sz w:val="22"/>
        </w:rPr>
        <w:t>3. A atividade é relevante para a sua formação e articulação de competências e conteúdos? Nota: 9</w:t>
      </w:r>
    </w:p>
    <w:p>
      <w:r>
        <w:rPr>
          <w:b w:val="0"/>
          <w:sz w:val="22"/>
        </w:rPr>
        <w:t>4. A atividade contribui para os objetivos da IES e do Curso (PDI e PPC)? Nota: 8</w:t>
      </w:r>
    </w:p>
    <w:p>
      <w:r>
        <w:rPr>
          <w:b w:val="0"/>
          <w:sz w:val="22"/>
        </w:rPr>
        <w:t>5. A atividade contribui para a melhoria da sociedade pelos resultados demonstrados? Nota: 5</w:t>
      </w:r>
    </w:p>
    <w:p>
      <w:r>
        <w:rPr>
          <w:b w:val="0"/>
          <w:sz w:val="22"/>
        </w:rPr>
        <w:t>6. A atividade permite o desenvolvimento de ações junto à Iniciação Científica e ao Ensino? Nota: 7</w:t>
      </w:r>
    </w:p>
    <w:p>
      <w:r>
        <w:rPr>
          <w:b w:val="0"/>
          <w:sz w:val="22"/>
        </w:rPr>
        <w:t>7. Depoimento/sugestão: por ter sido um estudo simulado, a contribuição social ficou no campo do planejamento; sugiro que o componente ofereça uma lista de parceiros culturais por polo para facilitar a execução real.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