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027295" cy="828040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295" cy="8280400"/>
                    </a:xfrm>
                    <a:prstGeom prst="rect">
                      <a:avLst/>
                    </a:prstGeom>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lastRenderedPageBreak/>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w:t>
      </w:r>
      <w:r w:rsidRPr="00264F7C">
        <w:rPr>
          <w:rFonts w:ascii="Arial" w:hAnsi="Arial" w:cs="Arial"/>
        </w:rPr>
        <w:t xml:space="preserve">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xml:space="preserve">, </w:t>
      </w:r>
      <w:r w:rsidRPr="00264F7C">
        <w:rPr>
          <w:rFonts w:ascii="Arial" w:hAnsi="Arial" w:cs="Arial"/>
        </w:rPr>
        <w:t>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w:t>
      </w:r>
      <w:r w:rsidRPr="00264F7C">
        <w:rPr>
          <w:rFonts w:ascii="Arial" w:hAnsi="Arial" w:cs="Arial"/>
        </w:rPr>
        <w:t>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CURSO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NIVEL</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LETRA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LIBRO</w:t>
      </w:r>
    </w:p>
    <w:p w:rsidR="00264F7C" w:rsidRDefault="00264F7C" w:rsidP="00654C5E">
      <w:pPr>
        <w:spacing w:line="276" w:lineRule="auto"/>
        <w:ind w:left="284"/>
        <w:rPr>
          <w:rFonts w:ascii="Arial" w:hAnsi="Arial" w:cs="Arial"/>
        </w:rPr>
      </w:pPr>
      <w:proofErr w:type="spellStart"/>
      <w:proofErr w:type="gramStart"/>
      <w:r w:rsidRPr="00264F7C">
        <w:rPr>
          <w:rFonts w:ascii="Arial" w:hAnsi="Arial" w:cs="Arial"/>
          <w:b/>
        </w:rPr>
        <w:t>Codigo</w:t>
      </w:r>
      <w:r w:rsidRPr="00264F7C">
        <w:rPr>
          <w:rFonts w:ascii="Arial" w:hAnsi="Arial" w:cs="Arial"/>
        </w:rPr>
        <w:t>,</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r w:rsidRPr="00264F7C">
        <w:rPr>
          <w:rFonts w:ascii="Arial" w:hAnsi="Arial" w:cs="Arial"/>
          <w:b/>
        </w:rPr>
        <w:t>AUTOR</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CATEGORIA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UBICACIÓN</w:t>
      </w:r>
    </w:p>
    <w:p w:rsidR="00264F7C" w:rsidRDefault="00264F7C" w:rsidP="00654C5E">
      <w:pPr>
        <w:spacing w:line="276" w:lineRule="auto"/>
        <w:ind w:left="284"/>
        <w:rPr>
          <w:rFonts w:ascii="Arial" w:hAnsi="Arial" w:cs="Arial"/>
        </w:rPr>
      </w:pPr>
      <w:proofErr w:type="spellStart"/>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Default="00264F7C" w:rsidP="00654C5E">
      <w:pPr>
        <w:spacing w:line="276" w:lineRule="auto"/>
        <w:ind w:left="284"/>
        <w:rPr>
          <w:rFonts w:ascii="Arial" w:hAnsi="Arial" w:cs="Arial"/>
        </w:rPr>
      </w:pPr>
    </w:p>
    <w:p w:rsidR="00D7628D" w:rsidRDefault="00D7628D" w:rsidP="00654C5E">
      <w:pPr>
        <w:spacing w:line="276" w:lineRule="auto"/>
        <w:ind w:left="284"/>
        <w:rPr>
          <w:rFonts w:ascii="Arial" w:hAnsi="Arial" w:cs="Arial"/>
        </w:rPr>
      </w:pPr>
      <w:r>
        <w:rPr>
          <w:rFonts w:ascii="Arial" w:hAnsi="Arial" w:cs="Arial"/>
        </w:rPr>
        <w:t>Identificación de las Relaciones</w:t>
      </w:r>
    </w:p>
    <w:p w:rsidR="00D7628D" w:rsidRPr="00264F7C" w:rsidRDefault="00D7628D" w:rsidP="00654C5E">
      <w:pPr>
        <w:spacing w:line="276" w:lineRule="auto"/>
        <w:ind w:left="284"/>
        <w:rPr>
          <w:rFonts w:ascii="Arial" w:hAnsi="Arial" w:cs="Arial"/>
        </w:rPr>
      </w:pPr>
    </w:p>
    <w:tbl>
      <w:tblPr>
        <w:tblStyle w:val="Tablaconcuadrcula"/>
        <w:tblW w:w="0" w:type="auto"/>
        <w:tblInd w:w="284" w:type="dxa"/>
        <w:tblLook w:val="04A0" w:firstRow="1" w:lastRow="0" w:firstColumn="1" w:lastColumn="0" w:noHBand="0" w:noVBand="1"/>
      </w:tblPr>
      <w:tblGrid>
        <w:gridCol w:w="1797"/>
        <w:gridCol w:w="1804"/>
        <w:gridCol w:w="1828"/>
        <w:gridCol w:w="1797"/>
        <w:gridCol w:w="1835"/>
      </w:tblGrid>
      <w:tr w:rsidR="00D7628D" w:rsidTr="00D7628D">
        <w:tc>
          <w:tcPr>
            <w:tcW w:w="1869" w:type="dxa"/>
          </w:tcPr>
          <w:p w:rsidR="00D7628D" w:rsidRDefault="00D7628D" w:rsidP="00D7628D">
            <w:pPr>
              <w:spacing w:line="276" w:lineRule="auto"/>
              <w:jc w:val="center"/>
            </w:pPr>
            <w:r>
              <w:t>Entidad</w:t>
            </w:r>
          </w:p>
        </w:tc>
        <w:tc>
          <w:tcPr>
            <w:tcW w:w="1869" w:type="dxa"/>
          </w:tcPr>
          <w:p w:rsidR="00D7628D" w:rsidRDefault="00D7628D" w:rsidP="00D7628D">
            <w:pPr>
              <w:spacing w:line="276" w:lineRule="auto"/>
              <w:jc w:val="center"/>
            </w:pPr>
            <w:r>
              <w:t>Relación</w:t>
            </w:r>
          </w:p>
        </w:tc>
        <w:tc>
          <w:tcPr>
            <w:tcW w:w="1869" w:type="dxa"/>
          </w:tcPr>
          <w:p w:rsidR="00D7628D" w:rsidRDefault="00D7628D" w:rsidP="00D7628D">
            <w:pPr>
              <w:spacing w:line="276" w:lineRule="auto"/>
              <w:jc w:val="center"/>
            </w:pPr>
            <w:r>
              <w:t>Descripción</w:t>
            </w:r>
          </w:p>
        </w:tc>
        <w:tc>
          <w:tcPr>
            <w:tcW w:w="1869" w:type="dxa"/>
          </w:tcPr>
          <w:p w:rsidR="00D7628D" w:rsidRDefault="00D7628D" w:rsidP="00D7628D">
            <w:pPr>
              <w:spacing w:line="276" w:lineRule="auto"/>
              <w:jc w:val="center"/>
            </w:pPr>
            <w:r>
              <w:t>Entidad</w:t>
            </w:r>
          </w:p>
        </w:tc>
        <w:tc>
          <w:tcPr>
            <w:tcW w:w="1869" w:type="dxa"/>
          </w:tcPr>
          <w:p w:rsidR="00D7628D" w:rsidRDefault="00D7628D" w:rsidP="00D7628D">
            <w:pPr>
              <w:spacing w:line="276" w:lineRule="auto"/>
              <w:jc w:val="center"/>
            </w:pPr>
            <w:r>
              <w:t>Cardinalidad</w:t>
            </w: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bookmarkStart w:id="1" w:name="_GoBack"/>
            <w:bookmarkEnd w:id="1"/>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r w:rsidR="00D7628D" w:rsidTr="00D7628D">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c>
          <w:tcPr>
            <w:tcW w:w="1869" w:type="dxa"/>
          </w:tcPr>
          <w:p w:rsidR="00D7628D" w:rsidRDefault="00D7628D" w:rsidP="00654C5E">
            <w:pPr>
              <w:spacing w:line="276" w:lineRule="auto"/>
            </w:pPr>
          </w:p>
        </w:tc>
      </w:tr>
    </w:tbl>
    <w:p w:rsidR="00264F7C" w:rsidRDefault="00264F7C"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264F7C" w:rsidRPr="00264F7C" w:rsidRDefault="00264F7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E54DB" w:rsidP="00654C5E">
      <w:pPr>
        <w:spacing w:line="276" w:lineRule="auto"/>
        <w:ind w:left="284"/>
        <w:rPr>
          <w:rFonts w:ascii="Arial" w:eastAsia="DengXian" w:hAnsi="Arial" w:cs="Arial"/>
          <w:lang w:val="en-US" w:eastAsia="zh-CN"/>
        </w:rPr>
      </w:pPr>
      <w:hyperlink r:id="rId15">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E54DB" w:rsidP="00654C5E">
      <w:pPr>
        <w:spacing w:line="276" w:lineRule="auto"/>
        <w:ind w:left="284"/>
        <w:rPr>
          <w:rStyle w:val="Hipervnculo"/>
          <w:rFonts w:ascii="Arial" w:eastAsia="DengXian" w:hAnsi="Arial" w:cs="Arial"/>
          <w:lang w:val="en-US" w:eastAsia="zh-CN"/>
        </w:rPr>
      </w:pPr>
      <w:hyperlink r:id="rId16"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E54DB" w:rsidP="00654C5E">
      <w:pPr>
        <w:spacing w:line="276" w:lineRule="auto"/>
        <w:ind w:left="284"/>
        <w:rPr>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E54DB"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E36" w:rsidRDefault="00253E36">
      <w:r>
        <w:separator/>
      </w:r>
    </w:p>
  </w:endnote>
  <w:endnote w:type="continuationSeparator" w:id="0">
    <w:p w:rsidR="00253E36" w:rsidRDefault="0025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jc w:val="right"/>
    </w:pPr>
    <w:r>
      <w:fldChar w:fldCharType="begin"/>
    </w:r>
    <w:r>
      <w:instrText>PAGE</w:instrText>
    </w:r>
    <w:r>
      <w:fldChar w:fldCharType="separate"/>
    </w:r>
    <w:r w:rsidR="00D7628D">
      <w:rPr>
        <w:noProof/>
      </w:rPr>
      <w:t>21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DB" w:rsidRDefault="009E54DB">
    <w:pPr>
      <w:spacing w:line="276" w:lineRule="auto"/>
      <w:jc w:val="center"/>
      <w:rPr>
        <w:rFonts w:ascii="Arial" w:eastAsia="Arial" w:hAnsi="Arial" w:cs="Arial"/>
        <w:b/>
      </w:rPr>
    </w:pPr>
    <w:r>
      <w:rPr>
        <w:rFonts w:ascii="Arial" w:eastAsia="Arial" w:hAnsi="Arial" w:cs="Arial"/>
        <w:b/>
      </w:rPr>
      <w:t>Puerto Montt septiembre 2020</w:t>
    </w:r>
  </w:p>
  <w:p w:rsidR="009E54DB" w:rsidRDefault="009E54D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E36" w:rsidRDefault="00253E36">
      <w:r>
        <w:separator/>
      </w:r>
    </w:p>
  </w:footnote>
  <w:footnote w:type="continuationSeparator" w:id="0">
    <w:p w:rsidR="00253E36" w:rsidRDefault="00253E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19"/>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122107"/>
    <w:rsid w:val="00134CE2"/>
    <w:rsid w:val="00142702"/>
    <w:rsid w:val="001777C5"/>
    <w:rsid w:val="00253E36"/>
    <w:rsid w:val="00260F22"/>
    <w:rsid w:val="00264F7C"/>
    <w:rsid w:val="002B13D1"/>
    <w:rsid w:val="00315DD4"/>
    <w:rsid w:val="00362364"/>
    <w:rsid w:val="004068AB"/>
    <w:rsid w:val="0046150E"/>
    <w:rsid w:val="004F1BCB"/>
    <w:rsid w:val="00562BC2"/>
    <w:rsid w:val="00654C5E"/>
    <w:rsid w:val="00685758"/>
    <w:rsid w:val="006B7060"/>
    <w:rsid w:val="006C7D6A"/>
    <w:rsid w:val="007C4E87"/>
    <w:rsid w:val="007F0E97"/>
    <w:rsid w:val="008212B2"/>
    <w:rsid w:val="00943A91"/>
    <w:rsid w:val="009E54DB"/>
    <w:rsid w:val="00A2015A"/>
    <w:rsid w:val="00A2164F"/>
    <w:rsid w:val="00A74E26"/>
    <w:rsid w:val="00B06588"/>
    <w:rsid w:val="00B44ABC"/>
    <w:rsid w:val="00C162E6"/>
    <w:rsid w:val="00C40840"/>
    <w:rsid w:val="00D44DB4"/>
    <w:rsid w:val="00D76210"/>
    <w:rsid w:val="00D7628D"/>
    <w:rsid w:val="00DE5148"/>
    <w:rsid w:val="00E74580"/>
    <w:rsid w:val="00ED1DAC"/>
    <w:rsid w:val="00F76CB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76E"/>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openaccess.uoc.edu/webapps/o2/bitstream/10609/45780/10/aorbisTFG0116memor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rvicio.bc.uc.edu.ve/derecho/revista/idc38/art07.pdf" TargetMode="External"/><Relationship Id="rId2" Type="http://schemas.openxmlformats.org/officeDocument/2006/relationships/numbering" Target="numbering.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descolar.mineduc.c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8C4EB-E721-4F45-9923-CF3F4DE9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23</Pages>
  <Words>4721</Words>
  <Characters>25970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30</cp:revision>
  <dcterms:created xsi:type="dcterms:W3CDTF">2020-10-26T01:45:00Z</dcterms:created>
  <dcterms:modified xsi:type="dcterms:W3CDTF">2020-10-26T05:22:00Z</dcterms:modified>
</cp:coreProperties>
</file>