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SIC Transmetro — Diagrama ER, Script de BD y Diagramas UML</w:t>
      </w:r>
    </w:p>
    <w:p>
      <w:pPr>
        <w:spacing w:after="140"/>
      </w:pPr>
      <w:r>
        <w:rPr>
          <w:rFonts w:ascii="Calibri" w:cs="Calibri" w:eastAsia="Calibri" w:hAnsi="Calibri"/>
        </w:rPr>
        <w:t xml:space="preserve">Proyecto final · Aseguramiento de la Calidad del Software · 18 de septiembre de 2026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Introducción</w:t>
      </w:r>
    </w:p>
    <w:p>
      <w:pPr>
        <w:spacing w:after="140"/>
      </w:pPr>
      <w:r>
        <w:rPr>
          <w:rFonts w:ascii="Calibri" w:cs="Calibri" w:eastAsia="Calibri" w:hAnsi="Calibri"/>
        </w:rPr>
        <w:t xml:space="preserve">Este documento reúne el diseño de datos y el diseño UML del </w:t>
      </w:r>
      <w:r>
        <w:rPr>
          <w:rFonts w:ascii="Calibri" w:cs="Calibri" w:eastAsia="Calibri" w:hAnsi="Calibri"/>
          <w:b/>
          <w:bCs/>
        </w:rPr>
        <w:t xml:space="preserve">Sistema de Información y Control del Transmetro (SIC Transmetro)</w:t>
      </w:r>
      <w:r>
        <w:rPr>
          <w:rFonts w:ascii="Calibri" w:cs="Calibri" w:eastAsia="Calibri" w:hAnsi="Calibri"/>
        </w:rPr>
        <w:t xml:space="preserve">: el diagrama entidad relación, el script de la base de datos y 15 diagramas UML. Es el entregable de las fases F6 a F8 del proyecto final del curso de Aseguramiento de la Calidad del Software.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sistema centraliza la información de </w:t>
      </w:r>
      <w:r>
        <w:rPr>
          <w:rFonts w:ascii="Calibri" w:cs="Calibri" w:eastAsia="Calibri" w:hAnsi="Calibri"/>
          <w:b/>
          <w:bCs/>
        </w:rPr>
        <w:t xml:space="preserve">7 líneas, 106 estaciones y 210 unidades</w:t>
      </w:r>
      <w:r>
        <w:rPr>
          <w:rFonts w:ascii="Calibri" w:cs="Calibri" w:eastAsia="Calibri" w:hAnsi="Calibri"/>
        </w:rPr>
        <w:t xml:space="preserve"> del Transmetro de la Ciudad de Guatemala y municipios aledaños. También automatiza en la base de datos las reglas de negocio que hoy dependen del control manual.</w:t>
      </w:r>
    </w:p>
    <w:tbl>
      <w:tblPr>
        <w:tblW w:type="pct" w:w="100%"/>
        <w:tblBorders>
          <w:top w:val="single" w:color="B8C2CF" w:sz="4"/>
          <w:left w:val="single" w:color="B8C2CF" w:sz="4"/>
          <w:bottom w:val="single" w:color="B8C2CF" w:sz="4"/>
          <w:right w:val="single" w:color="B8C2CF" w:sz="4"/>
          <w:insideH w:val="single" w:color="B8C2CF" w:sz="4"/>
          <w:insideV w:val="single" w:color="B8C2CF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</w:t>
            </w:r>
          </w:p>
        </w:tc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18 + Vite, aplicación web responsiva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REST en Node.js + Express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 datos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14 o superior, servicio administrado en la nube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por usuario y rol, contraseñas con bcrypt, HTTPS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Verificación.</w:t>
      </w:r>
      <w:r>
        <w:rPr>
          <w:rFonts w:ascii="Calibri" w:cs="Calibri" w:eastAsia="Calibri" w:hAnsi="Calibri"/>
        </w:rPr>
        <w:t xml:space="preserve"> El script se ejecutó completo en PostgreSQL 18.3 (PGlite 0.5.8) el 18 de septiembre de 2026. Creó las 32 tablas y las 12 vistas sin errores. Las pruebas confirmaron que las reglas RF-04, RF-06 y RF-10 rechazan los datos inválidos, y que RF-05, RF-08, RF-09 y RF-16 generan su alerta o su registro en la bitácora.</w:t>
      </w:r>
    </w:p>
    <w:p>
      <w:pPr>
        <w:spacing w:after="140"/>
      </w:pPr>
      <w:r>
        <w:rPr>
          <w:rFonts w:ascii="Calibri" w:cs="Calibri" w:eastAsia="Calibri" w:hAnsi="Calibri"/>
        </w:rPr>
        <w:t xml:space="preserve">Los diagramas se generaron con Mermaid a partir de fuentes editables. Todos los archivos están en la carpeta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transmetro-sic\entregables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Diagrama Entidad Relación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modelo tiene </w:t>
      </w:r>
      <w:r>
        <w:rPr>
          <w:rFonts w:ascii="Calibri" w:cs="Calibri" w:eastAsia="Calibri" w:hAnsi="Calibri"/>
          <w:b/>
          <w:bCs/>
        </w:rPr>
        <w:t xml:space="preserve">32 tablas en 6 dominios</w:t>
      </w:r>
      <w:r>
        <w:rPr>
          <w:rFonts w:ascii="Calibri" w:cs="Calibri" w:eastAsia="Calibri" w:hAnsi="Calibri"/>
        </w:rPr>
        <w:t xml:space="preserve">, todas en el esquema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transmetro</w:t>
      </w:r>
      <w:r>
        <w:rPr>
          <w:rFonts w:ascii="Calibri" w:cs="Calibri" w:eastAsia="Calibri" w:hAnsi="Calibri"/>
        </w:rPr>
        <w:t xml:space="preserve">. Primero va el modelo completo y después un diagrama por dominio, que es el que se lee en tamaño carta.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Notación.</w:t>
      </w:r>
      <w:r>
        <w:rPr>
          <w:rFonts w:ascii="Calibri" w:cs="Calibri" w:eastAsia="Calibri" w:hAnsi="Calibri"/>
        </w:rPr>
        <w:t xml:space="preserve"> Pata de gallo (crow's foot).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||</w:t>
      </w:r>
      <w:r>
        <w:rPr>
          <w:rFonts w:ascii="Calibri" w:cs="Calibri" w:eastAsia="Calibri" w:hAnsi="Calibri"/>
        </w:rPr>
        <w:t xml:space="preserve"> = exactamente uno,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|o</w:t>
      </w:r>
      <w:r>
        <w:rPr>
          <w:rFonts w:ascii="Calibri" w:cs="Calibri" w:eastAsia="Calibri" w:hAnsi="Calibri"/>
        </w:rPr>
        <w:t xml:space="preserve"> = cero o uno,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o{</w:t>
      </w:r>
      <w:r>
        <w:rPr>
          <w:rFonts w:ascii="Calibri" w:cs="Calibri" w:eastAsia="Calibri" w:hAnsi="Calibri"/>
        </w:rPr>
        <w:t xml:space="preserve"> = cero o muchos. PK = llave primaria, FK = llave foránea, UK = llave única. En los diagramas por dominio, una entidad con solo su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id</w:t>
      </w:r>
      <w:r>
        <w:rPr>
          <w:rFonts w:ascii="Calibri" w:cs="Calibri" w:eastAsia="Calibri" w:hAnsi="Calibri"/>
        </w:rPr>
        <w:t xml:space="preserve"> y la nota "ver su dominio" pertenece a otro dominio.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Convenciones del modelo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Toda tabla tiene una llave sustituta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id</w:t>
      </w:r>
      <w:r>
        <w:rPr>
          <w:rFonts w:ascii="Calibri" w:cs="Calibri" w:eastAsia="Calibri" w:hAnsi="Calibri"/>
        </w:rPr>
        <w:t xml:space="preserve"> y una llave natural única: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codigo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placa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dpi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Los borrados son lógicos (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estado</w:t>
      </w:r>
      <w:r>
        <w:rPr>
          <w:rFonts w:ascii="Calibri" w:cs="Calibri" w:eastAsia="Calibri" w:hAnsi="Calibri"/>
        </w:rPr>
        <w:t xml:space="preserve"> o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activo</w:t>
      </w:r>
      <w:r>
        <w:rPr>
          <w:rFonts w:ascii="Calibri" w:cs="Calibri" w:eastAsia="Calibri" w:hAnsi="Calibri"/>
        </w:rPr>
        <w:t xml:space="preserve">), porque la bitácora exige trazabilidad permanente.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Los datos derivados no se guardan: la longitud de una línea se calcula con la vista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v_linea_longitud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Las asignaciones con historia (bus–línea y bus–parqueo) tienen vigencia: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fecha_fin</w:t>
      </w:r>
      <w:r>
        <w:rPr>
          <w:rFonts w:ascii="Calibri" w:cs="Calibri" w:eastAsia="Calibri" w:hAnsi="Calibri"/>
        </w:rPr>
        <w:t xml:space="preserve"> en NULL = asignación vigente.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Modelo completo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1. Diagrama entidad relación completo, 32 tablas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Dominio de red: líneas, estaciones y accesos (RF-01, RF-02, RF-03, RF-13)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476875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2. ER del dominio de red</w:t>
      </w:r>
    </w:p>
    <w:p>
      <w:pPr>
        <w:spacing w:after="140"/>
      </w:pPr>
      <w:r>
        <w:rPr>
          <w:rFonts w:ascii="Consolas" w:cs="Consolas" w:eastAsia="Consolas" w:hAnsi="Consolas"/>
          <w:color w:val="8A1C1C"/>
          <w:sz w:val="19"/>
          <w:szCs w:val="19"/>
        </w:rPr>
        <w:t xml:space="preserve">LINEA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ESTACION</w:t>
      </w:r>
      <w:r>
        <w:rPr>
          <w:rFonts w:ascii="Calibri" w:cs="Calibri" w:eastAsia="Calibri" w:hAnsi="Calibri"/>
        </w:rPr>
        <w:t xml:space="preserve"> tienen una relación muchos a muchos que se resuelve con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LINEA_ESTACION</w:t>
      </w:r>
      <w:r>
        <w:rPr>
          <w:rFonts w:ascii="Calibri" w:cs="Calibri" w:eastAsia="Calibri" w:hAnsi="Calibri"/>
        </w:rPr>
        <w:t xml:space="preserve">. Esa tabla guarda el sentido, el orden de recorrido y la distancia a la siguiente estación. El orden no se repite dentro de la misma línea y sentido.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Dominio de flota: unidades, asignación y parqueos (RF-04, RF-05, RF-06)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744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3. ER del dominio de flota</w:t>
      </w:r>
    </w:p>
    <w:p>
      <w:pPr>
        <w:spacing w:after="140"/>
      </w:pPr>
      <w:r>
        <w:rPr>
          <w:rFonts w:ascii="Consolas" w:cs="Consolas" w:eastAsia="Consolas" w:hAnsi="Consolas"/>
          <w:color w:val="8A1C1C"/>
          <w:sz w:val="19"/>
          <w:szCs w:val="19"/>
        </w:rPr>
        <w:t xml:space="preserve">BUS_LINEA_ASIGNACION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PARQUEO_ASIGNACION</w:t>
      </w:r>
      <w:r>
        <w:rPr>
          <w:rFonts w:ascii="Calibri" w:cs="Calibri" w:eastAsia="Calibri" w:hAnsi="Calibri"/>
        </w:rPr>
        <w:t xml:space="preserve"> guardan la historia completa. Las restricciones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EXCLUDE</w:t>
      </w:r>
      <w:r>
        <w:rPr>
          <w:rFonts w:ascii="Calibri" w:cs="Calibri" w:eastAsia="Calibri" w:hAnsi="Calibri"/>
        </w:rPr>
        <w:t xml:space="preserve"> impiden que un bus esté en dos líneas o en dos espacios a la vez, y que un espacio aloje dos buses.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1.4 Dominio de personal: pilotos, guardias y cobertura (RF-07, RF-08)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747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4. ER del dominio de personal</w:t>
      </w:r>
    </w:p>
    <w:p>
      <w:pPr>
        <w:spacing w:after="140"/>
      </w:pPr>
      <w:r>
        <w:rPr>
          <w:rFonts w:ascii="Consolas" w:cs="Consolas" w:eastAsia="Consolas" w:hAnsi="Consolas"/>
          <w:color w:val="8A1C1C"/>
          <w:sz w:val="19"/>
          <w:szCs w:val="19"/>
        </w:rPr>
        <w:t xml:space="preserve">PERSONA</w:t>
      </w:r>
      <w:r>
        <w:rPr>
          <w:rFonts w:ascii="Calibri" w:cs="Calibri" w:eastAsia="Calibri" w:hAnsi="Calibri"/>
        </w:rPr>
        <w:t xml:space="preserve"> es la generalización: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PILOTO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GUARDIA</w:t>
      </w:r>
      <w:r>
        <w:rPr>
          <w:rFonts w:ascii="Calibri" w:cs="Calibri" w:eastAsia="Calibri" w:hAnsi="Calibri"/>
        </w:rPr>
        <w:t xml:space="preserve"> usan como llave primaria el mismo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persona_id</w:t>
      </w:r>
      <w:r>
        <w:rPr>
          <w:rFonts w:ascii="Calibri" w:cs="Calibri" w:eastAsia="Calibri" w:hAnsi="Calibri"/>
        </w:rPr>
        <w:t xml:space="preserve"> (relación 1 a 0..1).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GUARDIA_ASIGNACION</w:t>
      </w:r>
      <w:r>
        <w:rPr>
          <w:rFonts w:ascii="Calibri" w:cs="Calibri" w:eastAsia="Calibri" w:hAnsi="Calibri"/>
        </w:rPr>
        <w:t xml:space="preserve"> registra la cobertura por acceso, fecha y turno.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1.5 Dominio de operación y técnica (RF-09, RF-10, RF-11)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5. ER del dominio de operación</w:t>
      </w:r>
    </w:p>
    <w:p>
      <w:pPr>
        <w:spacing w:after="140"/>
      </w:pPr>
      <w:r>
        <w:rPr>
          <w:rFonts w:ascii="Consolas" w:cs="Consolas" w:eastAsia="Consolas" w:hAnsi="Consolas"/>
          <w:color w:val="8A1C1C"/>
          <w:sz w:val="19"/>
          <w:szCs w:val="19"/>
        </w:rPr>
        <w:t xml:space="preserve">REGISTRO_OCUPACION</w:t>
      </w:r>
      <w:r>
        <w:rPr>
          <w:rFonts w:ascii="Calibri" w:cs="Calibri" w:eastAsia="Calibri" w:hAnsi="Calibri"/>
        </w:rPr>
        <w:t xml:space="preserve"> calcula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porcentaje_ocupacion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sobrecupo</w:t>
      </w:r>
      <w:r>
        <w:rPr>
          <w:rFonts w:ascii="Calibri" w:cs="Calibri" w:eastAsia="Calibri" w:hAnsi="Calibri"/>
        </w:rPr>
        <w:t xml:space="preserve"> como columnas generadas.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ALERTA</w:t>
      </w:r>
      <w:r>
        <w:rPr>
          <w:rFonts w:ascii="Calibri" w:cs="Calibri" w:eastAsia="Calibri" w:hAnsi="Calibri"/>
        </w:rPr>
        <w:t xml:space="preserve"> es la bandeja única donde los triggers dejan cada excepción operativa.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1.6 Dominio de pagos (RF-12)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6. ER del dominio de pagos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número de tarjeta nunca se guarda en claro: solo su hash SHA-256 y los últimos 4 dígitos.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referencia_externa</w:t>
      </w:r>
      <w:r>
        <w:rPr>
          <w:rFonts w:ascii="Calibri" w:cs="Calibri" w:eastAsia="Calibri" w:hAnsi="Calibri"/>
        </w:rPr>
        <w:t xml:space="preserve"> es única para que una transacción reenviada no se duplique.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1.7 Dominio de seguridad (RF-15, RF-16)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544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7. ER del dominio de seguridad</w:t>
      </w:r>
    </w:p>
    <w:p>
      <w:pPr>
        <w:spacing w:after="140"/>
      </w:pPr>
      <w:r>
        <w:rPr>
          <w:rFonts w:ascii="Consolas" w:cs="Consolas" w:eastAsia="Consolas" w:hAnsi="Consolas"/>
          <w:color w:val="8A1C1C"/>
          <w:sz w:val="19"/>
          <w:szCs w:val="19"/>
        </w:rPr>
        <w:t xml:space="preserve">ROL_PERMISO</w:t>
      </w:r>
      <w:r>
        <w:rPr>
          <w:rFonts w:ascii="Calibri" w:cs="Calibri" w:eastAsia="Calibri" w:hAnsi="Calibri"/>
        </w:rPr>
        <w:t xml:space="preserve"> es la matriz de permisos normalizada (rol × módulo × nivel L, E o A). Si no hay fila, el rol no tiene acceso a ese módulo.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1.8 Cardinalidades principales</w:t>
      </w:r>
    </w:p>
    <w:tbl>
      <w:tblPr>
        <w:tblW w:type="pct" w:w="100%"/>
        <w:tblBorders>
          <w:top w:val="single" w:color="B8C2CF" w:sz="4"/>
          <w:left w:val="single" w:color="B8C2CF" w:sz="4"/>
          <w:bottom w:val="single" w:color="B8C2CF" w:sz="4"/>
          <w:right w:val="single" w:color="B8C2CF" w:sz="4"/>
          <w:insideH w:val="single" w:color="B8C2CF" w:sz="4"/>
          <w:insideV w:val="single" w:color="B8C2C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Relación</w:t>
            </w:r>
          </w:p>
        </w:tc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Cardinalidad</w:t>
            </w:r>
          </w:p>
        </w:tc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Municipalidad – Estación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 estación pertenece a una municipalidad (RF-13)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Línea – Estación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 : 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Mediante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LINEA_ESTACION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con orden y distancia (RF-01, RF-02)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Estación – Acceso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 de accesos (RF-03)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 – Línea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 : 1 vigente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sola asignación sin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fecha_fin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(RF-04)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 – Espacio de parqueo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: 1 vigente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Exclusión por periodo en ambos sentidos (RF-06)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– Guardia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 : N por fecha y turno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Mediante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GUARDIA_ASIGNACION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(RF-08)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– Piloto / Guardia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: 0..1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Generalización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Viaje – Registro de ocupación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medición por estación (RF-09)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Tarjeta – Transacción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: 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(RF-12)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– Rol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 : 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Mediante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USUARIO_ROL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(RF-15)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 – Módulo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 : N con nivel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Mediante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ROL_PERMISO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(RF-15)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Script de base de datos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script completo tiene </w:t>
      </w:r>
      <w:r>
        <w:rPr>
          <w:rFonts w:ascii="Calibri" w:cs="Calibri" w:eastAsia="Calibri" w:hAnsi="Calibri"/>
          <w:b/>
          <w:bCs/>
        </w:rPr>
        <w:t xml:space="preserve">2,299 líneas</w:t>
      </w:r>
      <w:r>
        <w:rPr>
          <w:rFonts w:ascii="Calibri" w:cs="Calibri" w:eastAsia="Calibri" w:hAnsi="Calibri"/>
        </w:rPr>
        <w:t xml:space="preserve"> y crea 32 tablas, 12 vistas, 15 funciones, 29 triggers y los datos de ejemplo. Se puede ejecutar varias veces: su primera sección elimina el esquema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transmetro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Archivo completo: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transmetro-sic\entregables\02_Script_BD_completo.sql</w:t>
      </w:r>
      <w:r>
        <w:rPr>
          <w:rFonts w:ascii="Calibri" w:cs="Calibri" w:eastAsia="Calibri" w:hAnsi="Calibri"/>
        </w:rPr>
        <w:t xml:space="preserve">, que se entrega junto con este documento.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Cómo ejecutarlo</w:t>
      </w:r>
    </w:p>
    <w:p>
      <w:pPr>
        <w:shd w:fill="F2F5F9" w:color="auto" w:val="clear"/>
        <w:spacing w:after="16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psql "postgresql://usuario:clave@host:5432/base" -v ON_ERROR_STOP=1 -f 02_Script_BD_completo.sql</w:t>
      </w:r>
    </w:p>
    <w:p>
      <w:pPr>
        <w:spacing w:after="140"/>
      </w:pPr>
      <w:r>
        <w:rPr>
          <w:rFonts w:ascii="Calibri" w:cs="Calibri" w:eastAsia="Calibri" w:hAnsi="Calibri"/>
        </w:rPr>
        <w:t xml:space="preserve">También se puede abrir y ejecutar completo en pgAdmin o DBeaver. La contraseña de los usuarios de ejemplo es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Transmetro2026*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Estructura del script</w:t>
      </w:r>
    </w:p>
    <w:tbl>
      <w:tblPr>
        <w:tblW w:type="pct" w:w="100%"/>
        <w:tblBorders>
          <w:top w:val="single" w:color="B8C2CF" w:sz="4"/>
          <w:left w:val="single" w:color="B8C2CF" w:sz="4"/>
          <w:bottom w:val="single" w:color="B8C2CF" w:sz="4"/>
          <w:right w:val="single" w:color="B8C2CF" w:sz="4"/>
          <w:insideH w:val="single" w:color="B8C2CF" w:sz="4"/>
          <w:insideV w:val="single" w:color="B8C2CF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Sección</w:t>
            </w:r>
          </w:p>
        </w:tc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00_drop_all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 el esquema para poder ejecutar de nuevo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01_extensiones_dominios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Esquema, extensiones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btree_gist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citext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pgcrypto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31 tipos ENUM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02_tablas_seguridad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Municipalidad, módulo, rol, matriz de permisos, usuario, sesión, bitácora, clasificación de información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03_tablas_red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Línea, estación, recorrido (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linea_estacion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y acceso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04_tablas_flota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Bus, asignación a línea, predio, espacio y asignación de parqueo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05_tablas_personal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Persona, piloto, historial educativo, guardia, turno y cobertura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06_tablas_operacion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Alerta, viaje, registro de ocupación, equipo de cómputo y conectividad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07_tablas_pagos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Tarjeta, transacción de pago y conciliación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08_reglas_negocio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Funciones y triggers de reglas de negocio y auditoría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09_indices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37 índices para el tiempo de respuesta menor a 3 segundos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10_vistas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vistas de consulta y reportes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11_seed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Catálogos obligatorios y datos de ejemplo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Reglas de negocio dentro de la base</w:t>
      </w:r>
    </w:p>
    <w:p>
      <w:pPr>
        <w:spacing w:after="140"/>
      </w:pPr>
      <w:r>
        <w:rPr>
          <w:rFonts w:ascii="Calibri" w:cs="Calibri" w:eastAsia="Calibri" w:hAnsi="Calibri"/>
        </w:rPr>
        <w:t xml:space="preserve">Las reglas viven en PostgreSQL, no en la API. Así ningún cliente puede saltárselas: ni la aplicación web, ni un script de carga, ni una consulta manual.</w:t>
      </w:r>
    </w:p>
    <w:tbl>
      <w:tblPr>
        <w:tblW w:type="pct" w:w="100%"/>
        <w:tblBorders>
          <w:top w:val="single" w:color="B8C2CF" w:sz="4"/>
          <w:left w:val="single" w:color="B8C2CF" w:sz="4"/>
          <w:bottom w:val="single" w:color="B8C2CF" w:sz="4"/>
          <w:right w:val="single" w:color="B8C2CF" w:sz="4"/>
          <w:insideH w:val="single" w:color="B8C2CF" w:sz="4"/>
          <w:insideV w:val="single" w:color="B8C2CF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Requerimiento</w:t>
            </w:r>
          </w:p>
        </w:tc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Mecanismo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RF-04 Un bus en una sola línea activa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EXCLUDE USING gist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sobre bus y periodo + índice único parcial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RF-05 Rango mínimo y máximo de unidades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Trigger que abre o cierra la alerta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rango_unidades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RF-06 Ningún bus sin parqueo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Dos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EXCLUDE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trigger de alerta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bus_sin_parqueo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RF-08 Cobertura mínima de guardias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Trigger que compara contra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acceso.guardias_minimos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RF-09 Sobrecupo del 50 % adicional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Columnas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GENERATED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trigger de alerta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RF-10 Espera de 5 minutos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CHECK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sobre la fila del viaje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RF-16 Bitácora de auditoría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Trigger genérico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fn_auditoria()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sobre 14 tablas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RF-04 — un bus solo puede estar activo en una línea a la vez</w:t>
      </w:r>
    </w:p>
    <w:p>
      <w:pPr>
        <w:shd w:fill="F2F5F9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CREATE TABLE bus_linea_asignacion (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id           bigint GENERATED ALWAYS AS IDENTITY PRIMARY KEY,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bus_id       bigint      NOT NULL REFERENCES bus(id)   ON DELETE CASCADE,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linea_id     bigint      NOT NULL REFERENCES linea(id) ON DELETE RESTRICT,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fecha_inicio timestamptz NOT NULL DEFAULT now(),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fecha_fin    timestamptz,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motivo       varchar(250),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CONSTRAINT ck_bus_asig_fechas CHECK (fecha_fin IS NULL OR fecha_fin &gt; fecha_inicio),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CONSTRAINT ex_bus_una_linea_a_la_vez EXCLUDE USING gist (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bus_id                                   WITH =,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tstzrange(fecha_inicio, fecha_fin, '[)') WITH &amp;&amp;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CREATE UNIQUE INDEX ux_bus_asignacion_vigente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ON bus_linea_asignacion (bus_id)</w:t>
      </w:r>
    </w:p>
    <w:p>
      <w:pPr>
        <w:shd w:fill="F2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WHERE fecha_fin IS NULL;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RF-09 — ocupación y sobrecupo calculados por la base</w:t>
      </w:r>
    </w:p>
    <w:p>
      <w:pPr>
        <w:shd w:fill="F2F5F9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porcentaje_ocupacion numeric(6,2) GENERATED ALWAYS AS (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round(pasajeros_abordo * 100.0 / capacidad_referencia, 2)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) STORED,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sobrecupo boolean GENERATED ALWAYS AS (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pasajeros_abordo &gt; capacidad_referencia * 1.5</w:t>
      </w:r>
    </w:p>
    <w:p>
      <w:pPr>
        <w:shd w:fill="F2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) STORED,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RF-10 — espera mínima de 5 minutos con menos del 25 % de ocupación</w:t>
      </w:r>
    </w:p>
    <w:p>
      <w:pPr>
        <w:shd w:fill="F2F5F9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CONSTRAINT ck_viaje_espera_minima CHECK (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fecha_hora_salida IS NULL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OR ocupacion_salida_pct IS NULL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OR ocupacion_salida_pct &gt;= 25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OR (fecha_hora_salida - fecha_hora_llegada) &gt;= INTERVAL '5 minutes'</w:t>
      </w:r>
    </w:p>
    <w:p>
      <w:pPr>
        <w:shd w:fill="F2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RF-05 — alerta automática por rango de unidades (extracto)</w:t>
      </w:r>
    </w:p>
    <w:p>
      <w:pPr>
        <w:shd w:fill="F2F5F9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IF v_activas &lt; v_linea.unidades_minimas THEN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PERFORM fn_alerta_abrir(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'rango_unidades', 'critica', 'linea', p_linea_id, p_linea_id, NULL,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format('La linea %s opera con %s unidades, por debajo del minimo de %s.',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v_linea.codigo, v_activas, v_linea.unidades_minimas));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ELSIF v_activas &gt; v_linea.unidades_maximas THEN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PERFORM fn_alerta_abrir('rango_unidades', 'advertencia', ...);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ELSE</w:t>
      </w:r>
    </w:p>
    <w:p>
      <w:pPr>
        <w:shd w:fill="F2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PERFORM fn_alerta_cerrar('rango_unidades', 'linea', p_linea_id);</w:t>
      </w:r>
    </w:p>
    <w:p>
      <w:pPr>
        <w:shd w:fill="F2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END IF;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Resultado de la ejecución de prueba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script se ejecutó dos veces seguidas en PostgreSQL 18.3 (PGlite 0.5.8) el 18 de septiembre de 2026, sin errores. Después se probaron las reglas con datos válidos e inválidos.</w:t>
      </w:r>
    </w:p>
    <w:tbl>
      <w:tblPr>
        <w:tblW w:type="pct" w:w="100%"/>
        <w:tblBorders>
          <w:top w:val="single" w:color="B8C2CF" w:sz="4"/>
          <w:left w:val="single" w:color="B8C2CF" w:sz="4"/>
          <w:bottom w:val="single" w:color="B8C2CF" w:sz="4"/>
          <w:right w:val="single" w:color="B8C2CF" w:sz="4"/>
          <w:insideH w:val="single" w:color="B8C2CF" w:sz="4"/>
          <w:insideV w:val="single" w:color="B8C2C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</w:t>
            </w:r>
          </w:p>
        </w:tc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</w:t>
            </w:r>
          </w:p>
        </w:tc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a L2 un bus que ya está en L1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Rechazado por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ex_bus_una_linea_a_la_vez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un segundo bus a un espacio ocupado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Rechazado por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ex_espacio_un_bus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Despachar con 20 % de ocupación a los 3 minutos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Rechazado por </w:t>
            </w:r>
            <w:r>
              <w:rPr>
                <w:rFonts w:ascii="Consolas" w:cs="Consolas" w:eastAsia="Consolas" w:hAnsi="Consolas"/>
                <w:color w:val="8A1C1C"/>
                <w:sz w:val="19"/>
                <w:szCs w:val="19"/>
              </w:rPr>
              <w:t xml:space="preserve">ck_viaje_espera_minima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Despachar con 20 % de ocupación a los 6 minutos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250 pasajeros en una unidad de capacidad 160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Alerta crítica de sobrecupo (156.25 %)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Línea L1 con 12 unidades y mínimo de 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Alerta crítica de rango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con 2 guardias mínimos sin cobertura completa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Alerta de cobertura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RF-16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Modificar el nombre de una línea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en bitácora con usuario, acción y campos cambiados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RF-02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Longitud de la L1 en ambos sentidos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8.380 km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Diagramas UML</w:t>
      </w:r>
    </w:p>
    <w:p>
      <w:pPr>
        <w:spacing w:after="140"/>
      </w:pPr>
      <w:r>
        <w:rPr>
          <w:rFonts w:ascii="Calibri" w:cs="Calibri" w:eastAsia="Calibri" w:hAnsi="Calibri"/>
        </w:rPr>
        <w:t xml:space="preserve">Son </w:t>
      </w:r>
      <w:r>
        <w:rPr>
          <w:rFonts w:ascii="Calibri" w:cs="Calibri" w:eastAsia="Calibri" w:hAnsi="Calibri"/>
          <w:b/>
          <w:bCs/>
        </w:rPr>
        <w:t xml:space="preserve">15 diagramas de 7 tipos</w:t>
      </w:r>
      <w:r>
        <w:rPr>
          <w:rFonts w:ascii="Calibri" w:cs="Calibri" w:eastAsia="Calibri" w:hAnsi="Calibri"/>
        </w:rPr>
        <w:t xml:space="preserve">, que cubren la vista funcional, la estática, la dinámica y la física del sistema.</w:t>
      </w:r>
    </w:p>
    <w:tbl>
      <w:tblPr>
        <w:tblW w:type="pct" w:w="100%"/>
        <w:tblBorders>
          <w:top w:val="single" w:color="B8C2CF" w:sz="4"/>
          <w:left w:val="single" w:color="B8C2CF" w:sz="4"/>
          <w:bottom w:val="single" w:color="B8C2CF" w:sz="4"/>
          <w:right w:val="single" w:color="B8C2CF" w:sz="4"/>
          <w:insideH w:val="single" w:color="B8C2CF" w:sz="4"/>
          <w:insideV w:val="single" w:color="B8C2C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Diagramas</w:t>
            </w:r>
          </w:p>
        </w:tc>
        <w:tc>
          <w:tcPr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muestra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Casos de uso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 (general + uno por actor)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hace cada rol en el sistema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Modelo de dominio: clases, atributos, métodos y asociaciones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Secuencia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Interacción entre interfaz, API y base en tres flujos críticos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Flujo de llegada, ocupación y despacho de una unidad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unidad y de la alerta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Componentes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Módulos del frontend, la API y la base de datos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Despliegue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Nodos físicos y protocolos en la nube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 Diagramas de casos de uso</w:t>
      </w:r>
    </w:p>
    <w:p>
      <w:pPr>
        <w:spacing w:after="140"/>
      </w:pPr>
      <w:r>
        <w:rPr>
          <w:rFonts w:ascii="Calibri" w:cs="Calibri" w:eastAsia="Calibri" w:hAnsi="Calibri"/>
        </w:rPr>
        <w:t xml:space="preserve">Hay 5 actores, uno por rol de la matriz de permisos, y 24 casos de uso. El Administrador general hereda todos los casos del Administrador municipal (generalización). En naranja van los casos incluidos o extendidos, que el sistema ejecuta de forma automática.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87680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8. Casos de uso general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505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9. Casos de uso del operador de estación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10. Casos de uso del piloto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11. Casos de uso del guardia de seguridad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65785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12. Casos de uso del administrador municipal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13. Casos de uso del administrador general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Diagrama de clases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14. Diagrama de clases del modelo de dominio</w:t>
      </w:r>
    </w:p>
    <w:p>
      <w:pPr>
        <w:spacing w:after="140"/>
      </w:pPr>
      <w:r>
        <w:rPr>
          <w:rFonts w:ascii="Consolas" w:cs="Consolas" w:eastAsia="Consolas" w:hAnsi="Consolas"/>
          <w:color w:val="8A1C1C"/>
          <w:sz w:val="19"/>
          <w:szCs w:val="19"/>
        </w:rPr>
        <w:t xml:space="preserve">Persona</w:t>
      </w:r>
      <w:r>
        <w:rPr>
          <w:rFonts w:ascii="Calibri" w:cs="Calibri" w:eastAsia="Calibri" w:hAnsi="Calibri"/>
        </w:rPr>
        <w:t xml:space="preserve"> es abstracta y se especializa en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Piloto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Guardia</w:t>
      </w:r>
      <w:r>
        <w:rPr>
          <w:rFonts w:ascii="Calibri" w:cs="Calibri" w:eastAsia="Calibri" w:hAnsi="Calibri"/>
        </w:rPr>
        <w:t xml:space="preserve">. Las composiciones (rombo relleno) marcan partes que no existen sin su todo: el recorrido de una línea, los accesos de una estación y los espacios de un predio. Los métodos reflejan las reglas: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Bus.asignarALinea()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Viaje.puedeDespachar()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RegistroOcupacion.esSobrecupo()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Diagramas de secuencia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15. Secuencia de inicio de sesión (UC01, RF-15, RF-16)</w:t>
      </w:r>
    </w:p>
    <w:p>
      <w:pPr>
        <w:spacing w:after="140"/>
      </w:pPr>
      <w:r>
        <w:rPr>
          <w:rFonts w:ascii="Calibri" w:cs="Calibri" w:eastAsia="Calibri" w:hAnsi="Calibri"/>
        </w:rPr>
        <w:t xml:space="preserve">El sistema bloquea la cuenta 15 minutos después de 5 intentos fallidos. Cada intento, exitoso o no, queda en la bitácora. El token de acceso lleva los permisos del usuario, con los que la interfaz arma el menú.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16. Secuencia de asignación de unidad a línea (UC09, RF-04, RF-05)</w:t>
      </w:r>
    </w:p>
    <w:p>
      <w:pPr>
        <w:spacing w:after="140"/>
      </w:pPr>
      <w:r>
        <w:rPr>
          <w:rFonts w:ascii="Calibri" w:cs="Calibri" w:eastAsia="Calibri" w:hAnsi="Calibri"/>
        </w:rPr>
        <w:t xml:space="preserve">La regla se valida en tres capas: la interfaz pide confirmar la reasignación, la API bloquea la fila con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FOR UPDATE</w:t>
      </w:r>
      <w:r>
        <w:rPr>
          <w:rFonts w:ascii="Calibri" w:cs="Calibri" w:eastAsia="Calibri" w:hAnsi="Calibri"/>
        </w:rPr>
        <w:t xml:space="preserve"> y la base rechaza cualquier traslape con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EXCLUDE</w:t>
      </w:r>
      <w:r>
        <w:rPr>
          <w:rFonts w:ascii="Calibri" w:cs="Calibri" w:eastAsia="Calibri" w:hAnsi="Calibri"/>
        </w:rPr>
        <w:t xml:space="preserve">. Si dos personas asignan el mismo bus al mismo tiempo, una de las dos operaciones falla.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17. Secuencia de ocupación y despacho (UC17, UC19, RF-09, RF-10)</w:t>
      </w:r>
    </w:p>
    <w:p>
      <w:pPr>
        <w:spacing w:after="140"/>
      </w:pPr>
      <w:r>
        <w:rPr>
          <w:rFonts w:ascii="Calibri" w:cs="Calibri" w:eastAsia="Calibri" w:hAnsi="Calibri"/>
        </w:rPr>
        <w:t xml:space="preserve">Este flujo corresponde al módulo de monitoreo, planificado para el Sprint 5. Las reglas de la base que usa (sobrecupo y espera de 5 minutos) ya están implementadas y probadas.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Diagrama de actividades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87655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18. Actividades del despacho de una unidad (RF-09, RF-10)</w:t>
      </w:r>
    </w:p>
    <w:p>
      <w:pPr>
        <w:spacing w:after="140"/>
      </w:pPr>
      <w:r>
        <w:rPr>
          <w:rFonts w:ascii="Calibri" w:cs="Calibri" w:eastAsia="Calibri" w:hAnsi="Calibri"/>
        </w:rPr>
        <w:t xml:space="preserve">Si la ocupación pasa del 150 % se genera una alerta, pero la unidad sí puede salir. Si es menor al 25 %, la unidad espera en el andén hasta completar 5 minutos desde su llegada.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Diagramas de estados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676775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19. Estados de la unidad (bus)</w:t>
      </w:r>
    </w:p>
    <w:p>
      <w:pPr>
        <w:spacing w:after="140"/>
      </w:pPr>
      <w:r>
        <w:rPr>
          <w:rFonts w:ascii="Calibri" w:cs="Calibri" w:eastAsia="Calibri" w:hAnsi="Calibri"/>
        </w:rPr>
        <w:t xml:space="preserve">Mientras está en el estado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Operativo</w:t>
      </w:r>
      <w:r>
        <w:rPr>
          <w:rFonts w:ascii="Calibri" w:cs="Calibri" w:eastAsia="Calibri" w:hAnsi="Calibri"/>
        </w:rPr>
        <w:t xml:space="preserve">, la unidad tiene dos regiones concurrentes: su asignación a línea y su parqueo. Si sale de </w:t>
      </w:r>
      <w:r>
        <w:rPr>
          <w:rFonts w:ascii="Consolas" w:cs="Consolas" w:eastAsia="Consolas" w:hAnsi="Consolas"/>
          <w:color w:val="8A1C1C"/>
          <w:sz w:val="19"/>
          <w:szCs w:val="19"/>
        </w:rPr>
        <w:t xml:space="preserve">Operativo</w:t>
      </w:r>
      <w:r>
        <w:rPr>
          <w:rFonts w:ascii="Calibri" w:cs="Calibri" w:eastAsia="Calibri" w:hAnsi="Calibri"/>
        </w:rPr>
        <w:t xml:space="preserve">, se recalcula el rango de unidades de su línea (RF-05).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20. Estados de la alerta</w:t>
      </w:r>
    </w:p>
    <w:p>
      <w:pPr>
        <w:spacing w:after="140"/>
      </w:pPr>
      <w:r>
        <w:rPr>
          <w:rFonts w:ascii="Calibri" w:cs="Calibri" w:eastAsia="Calibri" w:hAnsi="Calibri"/>
        </w:rPr>
        <w:t xml:space="preserve">Una alerta se cierra de dos formas: manualmente, con una nota, o automáticamente cuando la condición se normaliza. Solo puede haber una alerta abierta por tipo y por entidad.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3.6 Diagrama de componentes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21. Diagrama de componentes</w:t>
      </w:r>
    </w:p>
    <w:p>
      <w:pPr>
        <w:spacing w:after="140"/>
      </w:pPr>
      <w:r>
        <w:rPr>
          <w:rFonts w:ascii="Calibri" w:cs="Calibri" w:eastAsia="Calibri" w:hAnsi="Calibri"/>
        </w:rPr>
        <w:t xml:space="preserve">Las tres capas son independientes: el frontend solo conoce la interfaz REST y la API solo conoce la base. Esto cumple el requisito no funcional de capas desacopladas.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3.7 Diagrama de despliegue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65162"/>
          <w:sz w:val="19"/>
          <w:szCs w:val="19"/>
        </w:rPr>
        <w:t xml:space="preserve">Figura 22. Diagrama de despliegue</w:t>
      </w:r>
    </w:p>
    <w:p>
      <w:pPr>
        <w:spacing w:after="140"/>
      </w:pPr>
      <w:r>
        <w:rPr>
          <w:rFonts w:ascii="Calibri" w:cs="Calibri" w:eastAsia="Calibri" w:hAnsi="Calibri"/>
        </w:rPr>
        <w:t xml:space="preserve">Toda la comunicación externa va por HTTPS en el puerto 443, y la conexión a la base usa TLS. El servicio administrado de PostgreSQL hace respaldos diarios y guarda el WAL de forma continua, lo que cubre el requisito de respaldo y recuperación ante desastres.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8A2B3"/>
        <w:sz w:val="18"/>
        <w:szCs w:val="18"/>
      </w:rPr>
      <w:t xml:space="preserve">SIC Transmetro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003D82"/>
      <w:sz w:val="40"/>
      <w:szCs w:val="40"/>
    </w:rPr>
  </w:style>
  <w:style w:type="paragraph" w:styleId="Heading1">
    <w:name w:val="Heading 1"/>
    <w:pPr>
      <w:spacing w:after="160" w:before="240"/>
    </w:pPr>
    <w:rPr>
      <w:b/>
      <w:bCs/>
      <w:color w:val="003D82"/>
      <w:sz w:val="32"/>
      <w:szCs w:val="32"/>
    </w:rPr>
  </w:style>
  <w:style w:type="paragraph" w:styleId="Heading2">
    <w:name w:val="Heading 2"/>
    <w:pPr>
      <w:keepNext/>
      <w:spacing w:after="120" w:before="240"/>
    </w:pPr>
    <w:rPr>
      <w:b/>
      <w:bCs/>
      <w:color w:val="0057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e7692ac09e20e7fababb1173a6aba583a240c3.png"/><Relationship Id="rId9" Type="http://schemas.openxmlformats.org/officeDocument/2006/relationships/image" Target="media/964da907868c25d94c2da544952223367be00720.png"/><Relationship Id="rId10" Type="http://schemas.openxmlformats.org/officeDocument/2006/relationships/image" Target="media/41ac59a296a7b066c5498e457c0f694b2367ceb6.png"/><Relationship Id="rId11" Type="http://schemas.openxmlformats.org/officeDocument/2006/relationships/image" Target="media/0eccef7edbd224ed46d5da50f3ddbdcd749b978b.png"/><Relationship Id="rId12" Type="http://schemas.openxmlformats.org/officeDocument/2006/relationships/image" Target="media/87ba70606b5dc74eea0ff3b59b6d110c24bb978d.png"/><Relationship Id="rId13" Type="http://schemas.openxmlformats.org/officeDocument/2006/relationships/image" Target="media/b2d7cadc7d647bcb3d89c4f4141958cab01e5422.png"/><Relationship Id="rId14" Type="http://schemas.openxmlformats.org/officeDocument/2006/relationships/image" Target="media/81a41468a10720abe2ccf09986500b78c3f8d26a.png"/><Relationship Id="rId15" Type="http://schemas.openxmlformats.org/officeDocument/2006/relationships/image" Target="media/291e5409b2453c4936246cc3ea2942b1f04b1bbc.png"/><Relationship Id="rId16" Type="http://schemas.openxmlformats.org/officeDocument/2006/relationships/image" Target="media/ef182dd9c60cd5a92ab66fc1ae7d417ae91c2c91.png"/><Relationship Id="rId17" Type="http://schemas.openxmlformats.org/officeDocument/2006/relationships/image" Target="media/906f4ac196d189e3552fd7bf4f6aa3155a1c55ce.png"/><Relationship Id="rId18" Type="http://schemas.openxmlformats.org/officeDocument/2006/relationships/image" Target="media/bc28ebc26e03d969470dad479e7bec912e299bcd.png"/><Relationship Id="rId19" Type="http://schemas.openxmlformats.org/officeDocument/2006/relationships/image" Target="media/aec5e2bdd4299303a714bf181426402a62bd1ff8.png"/><Relationship Id="rId20" Type="http://schemas.openxmlformats.org/officeDocument/2006/relationships/image" Target="media/4d988745ca4cbb16cbc07314c698356b75f88f95.png"/><Relationship Id="rId21" Type="http://schemas.openxmlformats.org/officeDocument/2006/relationships/image" Target="media/f6e68a8c4d99aaed7aedb015f2631f5b3ed885c2.png"/><Relationship Id="rId22" Type="http://schemas.openxmlformats.org/officeDocument/2006/relationships/image" Target="media/f653659085c3ee3993dfd21228eb3d7e71eb0c81.png"/><Relationship Id="rId23" Type="http://schemas.openxmlformats.org/officeDocument/2006/relationships/image" Target="media/4a9bfe5ddb309ac4555c42bab4512e84abf82783.png"/><Relationship Id="rId24" Type="http://schemas.openxmlformats.org/officeDocument/2006/relationships/image" Target="media/56c3a20aaef81f807538e4d5635ff24f849f4d93.png"/><Relationship Id="rId25" Type="http://schemas.openxmlformats.org/officeDocument/2006/relationships/image" Target="media/f90c297873f4368db158ce7e78cf40d7317e2544.png"/><Relationship Id="rId26" Type="http://schemas.openxmlformats.org/officeDocument/2006/relationships/image" Target="media/2faeb3b9ded52c66dd58b6437e66e8a99249f31a.png"/><Relationship Id="rId27" Type="http://schemas.openxmlformats.org/officeDocument/2006/relationships/image" Target="media/cca992b5a05f7ed1a9de17a8ccabbc613883bde9.png"/><Relationship Id="rId28" Type="http://schemas.openxmlformats.org/officeDocument/2006/relationships/image" Target="media/2e9f5868d5c285149b3b679a4b6bbeec7343f596.png"/><Relationship Id="rId29" Type="http://schemas.openxmlformats.org/officeDocument/2006/relationships/image" Target="media/cc2a92db0a2b2b9c19d533a9f2e7adfa4f3d9c46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 Transmetro - Diagrama ER, Script de BD y Diagramas UML</dc:title>
  <dc:creator>SIC Transmetro</dc:creator>
  <cp:lastModifiedBy>Un-named</cp:lastModifiedBy>
  <cp:revision>1</cp:revision>
  <dcterms:created xsi:type="dcterms:W3CDTF">2026-09-19T02:21:23.151Z</dcterms:created>
  <dcterms:modified xsi:type="dcterms:W3CDTF">2026-09-19T02:21:23.152Z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