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461BFF1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31DEB3" w14:textId="77777777" w:rsidR="002E74AA" w:rsidRPr="002E74AA" w:rsidRDefault="002E74AA" w:rsidP="002E74A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74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 Papel da Comunicação em Saúde na Promoção de Habilidades de</w:t>
                            </w:r>
                          </w:p>
                          <w:p w14:paraId="4D87AC17" w14:textId="2B392310" w:rsidR="006A3B53" w:rsidRPr="006A3B53" w:rsidRDefault="002E74AA" w:rsidP="002E74A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74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Vida e Prevenção do HIV em Comunidades Carentes</w:t>
                            </w:r>
                          </w:p>
                          <w:p w14:paraId="2AC6CAEA" w14:textId="77777777" w:rsidR="002E74AA" w:rsidRDefault="002E74AA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294249" w14:textId="77777777" w:rsidR="002E74AA" w:rsidRDefault="002E74AA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276343B5" w:rsidR="00285962" w:rsidRDefault="00285962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Carlitos </w:t>
                            </w:r>
                            <w:proofErr w:type="spellStart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Agimo</w:t>
                            </w:r>
                            <w:proofErr w:type="spellEnd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Corte</w:t>
                            </w:r>
                          </w:p>
                          <w:p w14:paraId="4405EB11" w14:textId="554B688F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5962"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708241996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2F89C6F8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Tete,</w:t>
                            </w:r>
                            <w:r w:rsidR="002E7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2E7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Setembro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461BFF1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31DEB3" w14:textId="77777777" w:rsidR="002E74AA" w:rsidRPr="002E74AA" w:rsidRDefault="002E74AA" w:rsidP="002E74A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E74A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 Papel da Comunicação em Saúde na Promoção de Habilidades de</w:t>
                      </w:r>
                    </w:p>
                    <w:p w14:paraId="4D87AC17" w14:textId="2B392310" w:rsidR="006A3B53" w:rsidRPr="006A3B53" w:rsidRDefault="002E74AA" w:rsidP="002E74A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E74A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Vida e Prevenção do HIV em Comunidades Carentes</w:t>
                      </w:r>
                    </w:p>
                    <w:p w14:paraId="2AC6CAEA" w14:textId="77777777" w:rsidR="002E74AA" w:rsidRDefault="002E74AA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294249" w14:textId="77777777" w:rsidR="002E74AA" w:rsidRDefault="002E74AA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276343B5" w:rsidR="00285962" w:rsidRDefault="00285962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Carlitos </w:t>
                      </w:r>
                      <w:proofErr w:type="spellStart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Agimo</w:t>
                      </w:r>
                      <w:proofErr w:type="spellEnd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Corte</w:t>
                      </w:r>
                    </w:p>
                    <w:p w14:paraId="4405EB11" w14:textId="554B688F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5962"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708241996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2F89C6F8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Tete,</w:t>
                      </w:r>
                      <w:r w:rsidR="002E7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2E7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Setembro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31C0ECBD" w14:textId="77777777" w:rsidR="003851A3" w:rsidRDefault="00E84FEA" w:rsidP="002956B3">
          <w:pPr>
            <w:pStyle w:val="Cabealhodondice"/>
            <w:spacing w:line="360" w:lineRule="auto"/>
            <w:jc w:val="both"/>
            <w:rPr>
              <w:noProof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2956B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2956B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2956B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5146EB59" w14:textId="6CE01225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36" w:history="1">
            <w:r w:rsidR="003851A3" w:rsidRPr="003851A3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CAPÍTULO I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_Toc205992736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F8342" w14:textId="6703E1C1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37" w:history="1">
            <w:r w:rsidR="003851A3" w:rsidRPr="003851A3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1.1 Introdução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_Toc205992737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B5138" w14:textId="4DE6983B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38" w:history="1">
            <w:r w:rsidR="003851A3" w:rsidRPr="003851A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1.1.1 Objectivo geral: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_Toc205992738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7ADCD" w14:textId="7A9DD2EF" w:rsidR="003851A3" w:rsidRPr="003851A3" w:rsidRDefault="002B4694" w:rsidP="003851A3">
          <w:pPr>
            <w:pStyle w:val="ndice2"/>
            <w:tabs>
              <w:tab w:val="right" w:leader="dot" w:pos="9016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2739" w:history="1">
            <w:r w:rsidR="003851A3" w:rsidRPr="003851A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1.1.2 Objetivos específicos: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_Toc205992739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39738" w14:textId="32E34BF1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0" w:history="1">
            <w:r w:rsidR="003851A3" w:rsidRPr="003851A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CAPÍTULO II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_Toc205992740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D2205" w14:textId="795E80BF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1" w:history="1">
            <w:r w:rsidR="003851A3" w:rsidRPr="003851A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 Fundamentos da comunicação em saúde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_Toc205992741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F227C" w14:textId="3480AD32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2" w:history="1">
            <w:r w:rsidR="003851A3" w:rsidRPr="003851A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 Habilidades de vida e prevenção do HIV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_Toc205992742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AD4E0" w14:textId="40397C72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3" w:history="1">
            <w:r w:rsidR="003851A3" w:rsidRPr="003851A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 Desafios em comunidades carentes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_Toc205992743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56972" w14:textId="44DA43EB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4" w:history="1">
            <w:r w:rsidR="003851A3" w:rsidRPr="003851A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 Estratégias e canais de comunicação para prevenção do HIV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_Toc205992744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B0C9D" w14:textId="4F56A0BC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5" w:history="1">
            <w:r w:rsidR="003851A3" w:rsidRPr="003851A3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CAPÍTULO III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_Toc205992745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FA07A" w14:textId="305F8E9C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6" w:history="1">
            <w:r w:rsidR="003851A3" w:rsidRPr="003851A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 Metodologia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_Toc205992746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C4011" w14:textId="50158B05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7" w:history="1">
            <w:r w:rsidR="003851A3" w:rsidRPr="003851A3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CAPÍTULO IV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_Toc205992747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27430" w14:textId="73D3D9FD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8" w:history="1">
            <w:r w:rsidR="003851A3" w:rsidRPr="003851A3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4.1 Considerações finais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_Toc205992748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02F21" w14:textId="4BA583F8" w:rsidR="003851A3" w:rsidRPr="003851A3" w:rsidRDefault="002B4694" w:rsidP="003851A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92749" w:history="1">
            <w:r w:rsidR="003851A3" w:rsidRPr="003851A3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Referencia bibligraficas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_Toc205992749 \h </w:instrTex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70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851A3" w:rsidRPr="003851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2956B3" w:rsidRDefault="00E84FEA" w:rsidP="002956B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956B3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1B796B" w14:textId="3FBBA3A7" w:rsidR="004745A7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205992736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1859D746" w14:textId="43F53D1C" w:rsidR="00BE5FA2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205992737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1.1 Introdução</w:t>
      </w:r>
      <w:bookmarkEnd w:id="1"/>
    </w:p>
    <w:p w14:paraId="42B56A47" w14:textId="74BE1922" w:rsidR="00BE5FA2" w:rsidRPr="004745A7" w:rsidRDefault="006E0E20" w:rsidP="00FD5C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0E20">
        <w:rPr>
          <w:rFonts w:ascii="Times New Roman" w:hAnsi="Times New Roman" w:cs="Times New Roman"/>
          <w:sz w:val="24"/>
          <w:szCs w:val="24"/>
        </w:rPr>
        <w:t xml:space="preserve">O presente trabalho fala sobre o papel da comunicação em saúde na promoção de habilidades de vida e prevenção do HIV em comunidades carentes. Aborda-se como a disseminação de informações corretas e culturalmente adequadas pode influenciar comportamentos individuais e coletivos, reduzindo riscos associados à </w:t>
      </w:r>
      <w:proofErr w:type="spellStart"/>
      <w:r w:rsidRPr="006E0E20">
        <w:rPr>
          <w:rFonts w:ascii="Times New Roman" w:hAnsi="Times New Roman" w:cs="Times New Roman"/>
          <w:sz w:val="24"/>
          <w:szCs w:val="24"/>
        </w:rPr>
        <w:t>infecção</w:t>
      </w:r>
      <w:proofErr w:type="spellEnd"/>
      <w:r w:rsidRPr="006E0E20">
        <w:rPr>
          <w:rFonts w:ascii="Times New Roman" w:hAnsi="Times New Roman" w:cs="Times New Roman"/>
          <w:sz w:val="24"/>
          <w:szCs w:val="24"/>
        </w:rPr>
        <w:t xml:space="preserve"> pelo HIV. A pesquisa destaca a importância de estratégias participativas, canais de comunicação diversificados e programas educativos que desenvolvem competências essenciais para a tomada de decisões seguras. Além disso, discute-se os desafios enfrentados por populações vulneráveis, como pobreza, estigma, barreiras culturais e falta de acesso a serviços de saúde. Por fim, o trabalho enfatiza a necessidade de intervenções sustentáveis e éticas, que integrem a comunidade no processo de prevenção e promoção da saúde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6C514078" w14:textId="2D80EEB6" w:rsidR="00BE5FA2" w:rsidRPr="003851A3" w:rsidRDefault="004745A7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5992738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BE5FA2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BE5FA2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geral:</w:t>
      </w:r>
      <w:bookmarkEnd w:id="2"/>
    </w:p>
    <w:p w14:paraId="1074E386" w14:textId="33F7D081" w:rsidR="00BE5FA2" w:rsidRPr="004745A7" w:rsidRDefault="006E0E20" w:rsidP="004745A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E20">
        <w:rPr>
          <w:rFonts w:ascii="Times New Roman" w:hAnsi="Times New Roman" w:cs="Times New Roman"/>
          <w:sz w:val="24"/>
          <w:szCs w:val="24"/>
        </w:rPr>
        <w:t xml:space="preserve">Analisar o papel da comunicação em saúde na promoção de habilidades de vida e na prevenção do HIV em comunidades carentes, identificando estratégias eficazes, desafios enfrentados e boas práticas para fortalecer a educação em saúde e reduzir a vulnerabilidade à </w:t>
      </w:r>
      <w:proofErr w:type="spellStart"/>
      <w:r w:rsidRPr="006E0E20">
        <w:rPr>
          <w:rFonts w:ascii="Times New Roman" w:hAnsi="Times New Roman" w:cs="Times New Roman"/>
          <w:sz w:val="24"/>
          <w:szCs w:val="24"/>
        </w:rPr>
        <w:t>infecção</w:t>
      </w:r>
      <w:proofErr w:type="spellEnd"/>
      <w:r w:rsidRPr="006E0E20">
        <w:rPr>
          <w:rFonts w:ascii="Times New Roman" w:hAnsi="Times New Roman" w:cs="Times New Roman"/>
          <w:sz w:val="24"/>
          <w:szCs w:val="24"/>
        </w:rPr>
        <w:t xml:space="preserve"> pelo HIV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3F7D2DBC" w14:textId="4737441C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5992739"/>
      <w:r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3"/>
    </w:p>
    <w:p w14:paraId="7C1D3631" w14:textId="77777777" w:rsidR="00173449" w:rsidRPr="00173449" w:rsidRDefault="00173449" w:rsidP="0017344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449">
        <w:rPr>
          <w:rFonts w:ascii="Times New Roman" w:eastAsia="Times New Roman" w:hAnsi="Times New Roman" w:cs="Times New Roman"/>
          <w:sz w:val="24"/>
          <w:szCs w:val="24"/>
        </w:rPr>
        <w:t>Identificar os principais canais e estratégias de comunicação em saúde utilizados na prevenção do HIV em comunidades carentes.</w:t>
      </w:r>
    </w:p>
    <w:p w14:paraId="40FE5C30" w14:textId="6A9486C8" w:rsidR="00173449" w:rsidRPr="00173449" w:rsidRDefault="00180A19" w:rsidP="0017344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Apresentar </w:t>
      </w:r>
      <w:r w:rsidR="00173449" w:rsidRPr="00173449">
        <w:rPr>
          <w:rFonts w:ascii="Times New Roman" w:eastAsia="Times New Roman" w:hAnsi="Times New Roman" w:cs="Times New Roman"/>
          <w:sz w:val="24"/>
          <w:szCs w:val="24"/>
        </w:rPr>
        <w:t>o impacto das habilidades de vida na adoção de comportamentos preventivos contra o HIV.</w:t>
      </w:r>
    </w:p>
    <w:p w14:paraId="5EC965CD" w14:textId="77777777" w:rsidR="00173449" w:rsidRPr="00173449" w:rsidRDefault="00173449" w:rsidP="0017344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449">
        <w:rPr>
          <w:rFonts w:ascii="Times New Roman" w:eastAsia="Times New Roman" w:hAnsi="Times New Roman" w:cs="Times New Roman"/>
          <w:sz w:val="24"/>
          <w:szCs w:val="24"/>
        </w:rPr>
        <w:t>Mapear os desafios sociais, culturais e econômicos que dificultam a eficácia da comunicação em saúde.</w:t>
      </w:r>
    </w:p>
    <w:p w14:paraId="2841DAAC" w14:textId="4A8052BE" w:rsidR="00173449" w:rsidRPr="00173449" w:rsidRDefault="00173449" w:rsidP="004C05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449">
        <w:rPr>
          <w:rFonts w:ascii="Times New Roman" w:eastAsia="Times New Roman" w:hAnsi="Times New Roman" w:cs="Times New Roman"/>
          <w:sz w:val="24"/>
          <w:szCs w:val="24"/>
        </w:rPr>
        <w:t>Registrar o papel da participação comunitária na construção de mensagens e programas educativos sobre HIV.</w:t>
      </w:r>
    </w:p>
    <w:p w14:paraId="0C1FE1AA" w14:textId="54E4B024" w:rsidR="00735AF3" w:rsidRPr="003851A3" w:rsidRDefault="00173449" w:rsidP="003851A3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3449">
        <w:rPr>
          <w:rFonts w:ascii="Times New Roman" w:eastAsia="Times New Roman" w:hAnsi="Times New Roman" w:cs="Times New Roman"/>
          <w:sz w:val="24"/>
          <w:szCs w:val="24"/>
        </w:rPr>
        <w:t>Propor recomendações para melhorar a comunicação em saúde e fortalecer a prevenção do HIV em contextos vulneráveis</w:t>
      </w:r>
      <w:r w:rsidR="00CE1773" w:rsidRPr="00CE17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735AF3" w:rsidRPr="003851A3">
        <w:rPr>
          <w:rFonts w:ascii="Times New Roman" w:hAnsi="Times New Roman" w:cs="Times New Roman"/>
          <w:sz w:val="24"/>
          <w:szCs w:val="24"/>
        </w:rPr>
        <w:br w:type="page"/>
      </w:r>
    </w:p>
    <w:p w14:paraId="0A8651C6" w14:textId="1EFCBA3E" w:rsidR="007E6FA6" w:rsidRPr="003851A3" w:rsidRDefault="007E6FA6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5992740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CAPÍTULO II</w:t>
      </w:r>
      <w:bookmarkEnd w:id="4"/>
    </w:p>
    <w:p w14:paraId="7B03FF34" w14:textId="79B2CE91" w:rsidR="006E0E20" w:rsidRPr="003851A3" w:rsidRDefault="003851A3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5992741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6E0E20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1 Fundamentos da comunicação em saúde</w:t>
      </w:r>
      <w:bookmarkEnd w:id="5"/>
    </w:p>
    <w:p w14:paraId="6362706A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A comunicação em saúde é um processo estratégico que transforma informação em ação social, articulando mensagens, canais e públicos de forma contextualizada (</w:t>
      </w:r>
      <w:proofErr w:type="spellStart"/>
      <w:r w:rsidRPr="003851A3">
        <w:rPr>
          <w:lang w:val="pt-PT"/>
        </w:rPr>
        <w:t>World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Health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Organization</w:t>
      </w:r>
      <w:proofErr w:type="spellEnd"/>
      <w:r w:rsidRPr="003851A3">
        <w:rPr>
          <w:lang w:val="pt-PT"/>
        </w:rPr>
        <w:t>, 2021). Ela combina abordagens interpessoais, comunitárias e mediáticas para sustentar mudanças de comportamento duráveis (UNAIDS, 2024). Em contextos de pobreza, adapta-se a idiomas locais, normas culturais e níveis de literacia, para reduzir barreiras de compreensão. A precisão técnica precisa coexistir com empatia e relevância cultural para gerar confiança. O foco desloca-se de “informar” para “</w:t>
      </w:r>
      <w:proofErr w:type="spellStart"/>
      <w:r w:rsidRPr="003851A3">
        <w:rPr>
          <w:lang w:val="pt-PT"/>
        </w:rPr>
        <w:t>co-criar</w:t>
      </w:r>
      <w:proofErr w:type="spellEnd"/>
      <w:r w:rsidRPr="003851A3">
        <w:rPr>
          <w:lang w:val="pt-PT"/>
        </w:rPr>
        <w:t xml:space="preserve"> soluções” com as comunidades.</w:t>
      </w:r>
    </w:p>
    <w:p w14:paraId="527F7C88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Modelos de mudança comportamental orientam a conceção de mensagens e a segmentação de públicos, inclusive jovens e mulheres em maior vulnerabilidade. A testagem de conceitos e materiais com grupos-alvo melhora aceitabilidade e entendimento (</w:t>
      </w:r>
      <w:proofErr w:type="spellStart"/>
      <w:r w:rsidRPr="003851A3">
        <w:rPr>
          <w:lang w:val="pt-PT"/>
        </w:rPr>
        <w:t>Centers</w:t>
      </w:r>
      <w:proofErr w:type="spellEnd"/>
      <w:r w:rsidRPr="003851A3">
        <w:rPr>
          <w:lang w:val="pt-PT"/>
        </w:rPr>
        <w:t xml:space="preserve"> for </w:t>
      </w:r>
      <w:proofErr w:type="spellStart"/>
      <w:r w:rsidRPr="003851A3">
        <w:rPr>
          <w:lang w:val="pt-PT"/>
        </w:rPr>
        <w:t>Disease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Control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and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Prevention</w:t>
      </w:r>
      <w:proofErr w:type="spellEnd"/>
      <w:r w:rsidRPr="003851A3">
        <w:rPr>
          <w:lang w:val="pt-PT"/>
        </w:rPr>
        <w:t>, 2025). A comunicação mobiliza redes sociais de apoio e reforça normas protetoras, como o uso consistente de preservativos. O desenho das mensagens evita culpabilização e privilegia narrativas que valorizam autonomia. Com isso, aumenta-se a intenção de adoção de práticas preventivas.</w:t>
      </w:r>
    </w:p>
    <w:p w14:paraId="7FD94811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A comunicação eficaz integra dados epidemiológicos locais, para que as mensagens respondam a riscos reais. Em Moçambique, a prevalência em adultos e as disparidades por sexo e idade exigem foco em raparigas e mulheres jovens (UNAIDS, 2025). A localização de pontos de testagem e acesso à profilaxia pré-exposição (</w:t>
      </w:r>
      <w:proofErr w:type="spellStart"/>
      <w:r w:rsidRPr="003851A3">
        <w:rPr>
          <w:lang w:val="pt-PT"/>
        </w:rPr>
        <w:t>PrEP</w:t>
      </w:r>
      <w:proofErr w:type="spellEnd"/>
      <w:r w:rsidRPr="003851A3">
        <w:rPr>
          <w:lang w:val="pt-PT"/>
        </w:rPr>
        <w:t>) guia o direcionamento de campanhas. Informações sobre horários, custos e confidencialidade reduzem barreiras percebidas. A atualização contínua garante que o conteúdo acompanhe mudanças de políticas e serviços.</w:t>
      </w:r>
    </w:p>
    <w:p w14:paraId="4DAEAC23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A credibilidade das fontes determina adesão: quando líderes comunitários, profissionais de saúde e pares transmitem mensagens consistentes, a confiança aumenta. Revisões mostram que o envolvimento comunitário funciona melhor quando comunidades participam em todas as fases do programa (Dada, Singh, &amp; </w:t>
      </w:r>
      <w:proofErr w:type="spellStart"/>
      <w:r w:rsidRPr="003851A3">
        <w:rPr>
          <w:lang w:val="pt-PT"/>
        </w:rPr>
        <w:t>Hlongwa</w:t>
      </w:r>
      <w:proofErr w:type="spellEnd"/>
      <w:r w:rsidRPr="003851A3">
        <w:rPr>
          <w:lang w:val="pt-PT"/>
        </w:rPr>
        <w:t>, 2023). Transparência sobre benefícios e riscos evita rumores e resistência. A escuta ativa recolhe feedback para ajustes rápidos. Essa reciprocidade fortalece o vínculo entre serviços e cidadãos.</w:t>
      </w:r>
    </w:p>
    <w:p w14:paraId="664C29EE" w14:textId="58CC6271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Finalmente, a comunicação em saúde é também uma prática ética. Salvaguardas de privacidade, consentimento e não discriminação precisam ser explícitas nas mensagens (</w:t>
      </w:r>
      <w:proofErr w:type="spellStart"/>
      <w:r w:rsidRPr="003851A3">
        <w:rPr>
          <w:lang w:val="pt-PT"/>
        </w:rPr>
        <w:t>World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lastRenderedPageBreak/>
        <w:t>Health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Organization</w:t>
      </w:r>
      <w:proofErr w:type="spellEnd"/>
      <w:r w:rsidRPr="003851A3">
        <w:rPr>
          <w:lang w:val="pt-PT"/>
        </w:rPr>
        <w:t>, 2021). A linguagem deve ser inclusiva e livre de estigma relativo ao HIV. A adaptação cultural sustenta a dignidade e a adesão. Em suma, comunicar bem é parte essencial do cuidado.</w:t>
      </w:r>
    </w:p>
    <w:p w14:paraId="12F17D16" w14:textId="5BAB8C88" w:rsidR="006E0E20" w:rsidRPr="003851A3" w:rsidRDefault="006E0E20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5992742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3851A3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Habilidades de vida e prevenção do HIV</w:t>
      </w:r>
      <w:bookmarkEnd w:id="6"/>
    </w:p>
    <w:p w14:paraId="55585E80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Habilidades de vida são competências pessoais e sociais que ajudam pessoas a tomar decisões seguras, gerir emoções e negociar relações. Programas que combinam habilidades de vida com educação sexual baseada em evidências reduzem comportamentos de risco (</w:t>
      </w:r>
      <w:proofErr w:type="spellStart"/>
      <w:r w:rsidRPr="003851A3">
        <w:rPr>
          <w:lang w:val="pt-PT"/>
        </w:rPr>
        <w:t>World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Health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Organization</w:t>
      </w:r>
      <w:proofErr w:type="spellEnd"/>
      <w:r w:rsidRPr="003851A3">
        <w:rPr>
          <w:lang w:val="pt-PT"/>
        </w:rPr>
        <w:t>, 2021). Tópicos incluem negociação do uso de preservativo, recusa assertiva e procura precoce de testagem. A prática com dramatizações e pares facilita a internalização. Quando integradas em escolas e clubes juvenis, essas competências difundem-se pela comunidade.</w:t>
      </w:r>
    </w:p>
    <w:p w14:paraId="3A2E4677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As intervenções eficazes ancoram-se em metodologias participativas. A aprendizagem entre pares cria identificação e reduz assimetrias de poder (</w:t>
      </w:r>
      <w:proofErr w:type="spellStart"/>
      <w:r w:rsidRPr="003851A3">
        <w:rPr>
          <w:lang w:val="pt-PT"/>
        </w:rPr>
        <w:t>Centers</w:t>
      </w:r>
      <w:proofErr w:type="spellEnd"/>
      <w:r w:rsidRPr="003851A3">
        <w:rPr>
          <w:lang w:val="pt-PT"/>
        </w:rPr>
        <w:t xml:space="preserve"> for </w:t>
      </w:r>
      <w:proofErr w:type="spellStart"/>
      <w:r w:rsidRPr="003851A3">
        <w:rPr>
          <w:lang w:val="pt-PT"/>
        </w:rPr>
        <w:t>Disease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Control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and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Prevention</w:t>
      </w:r>
      <w:proofErr w:type="spellEnd"/>
      <w:r w:rsidRPr="003851A3">
        <w:rPr>
          <w:lang w:val="pt-PT"/>
        </w:rPr>
        <w:t xml:space="preserve">, 2025). Sessões curtas e frequentes, com reforço positivo, melhoram retenção de conteúdo. Ferramentas digitais podem oferecer </w:t>
      </w:r>
      <w:proofErr w:type="spellStart"/>
      <w:r w:rsidRPr="003851A3">
        <w:rPr>
          <w:lang w:val="pt-PT"/>
        </w:rPr>
        <w:t>quizzes</w:t>
      </w:r>
      <w:proofErr w:type="spellEnd"/>
      <w:r w:rsidRPr="003851A3">
        <w:rPr>
          <w:lang w:val="pt-PT"/>
        </w:rPr>
        <w:t xml:space="preserve"> e </w:t>
      </w:r>
      <w:proofErr w:type="spellStart"/>
      <w:r w:rsidRPr="003851A3">
        <w:rPr>
          <w:lang w:val="pt-PT"/>
        </w:rPr>
        <w:t>microlições</w:t>
      </w:r>
      <w:proofErr w:type="spellEnd"/>
      <w:r w:rsidRPr="003851A3">
        <w:rPr>
          <w:lang w:val="pt-PT"/>
        </w:rPr>
        <w:t xml:space="preserve"> para consolidar comportamentos. O acompanhamento por mentores sustenta a motivação para mudança.</w:t>
      </w:r>
    </w:p>
    <w:p w14:paraId="1C5227A3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A gestão de risco sexual exige informação clara sobre </w:t>
      </w:r>
      <w:proofErr w:type="spellStart"/>
      <w:r w:rsidRPr="003851A3">
        <w:rPr>
          <w:lang w:val="pt-PT"/>
        </w:rPr>
        <w:t>PrEP</w:t>
      </w:r>
      <w:proofErr w:type="spellEnd"/>
      <w:r w:rsidRPr="003851A3">
        <w:rPr>
          <w:lang w:val="pt-PT"/>
        </w:rPr>
        <w:t xml:space="preserve">, PEP e preservativos. A evidência mostra que a </w:t>
      </w:r>
      <w:proofErr w:type="spellStart"/>
      <w:r w:rsidRPr="003851A3">
        <w:rPr>
          <w:lang w:val="pt-PT"/>
        </w:rPr>
        <w:t>PrEP</w:t>
      </w:r>
      <w:proofErr w:type="spellEnd"/>
      <w:r w:rsidRPr="003851A3">
        <w:rPr>
          <w:lang w:val="pt-PT"/>
        </w:rPr>
        <w:t>, quando usada corretamente, é altamente eficaz na prevenção do HIV (</w:t>
      </w:r>
      <w:proofErr w:type="spellStart"/>
      <w:r w:rsidRPr="003851A3">
        <w:rPr>
          <w:lang w:val="pt-PT"/>
        </w:rPr>
        <w:t>World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Health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Organization</w:t>
      </w:r>
      <w:proofErr w:type="spellEnd"/>
      <w:r w:rsidRPr="003851A3">
        <w:rPr>
          <w:lang w:val="pt-PT"/>
        </w:rPr>
        <w:t>, 2021). Programas de habilidades de vida incluem planeamento de adesão e superação de barreiras quotidianas. As mensagens desmistificam efeitos adversos e orientam sobre onde aceder ao serviço. Assim, a competência torna-se comportamento protetor.</w:t>
      </w:r>
    </w:p>
    <w:p w14:paraId="16C75AFB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Desigualdades de género e normas sociais influenciam a negociação sexual. Treinos de comunicação assertiva e segurança relacional empoderam raparigas e mulheres jovens, grupo com elevada incidência em vários contextos africanos (UNAIDS, 2025). Estratégias de “apoio entre amigas” aumentam a autoconfiança para exigir preservativo. Envolver rapazes e homens amplia a mudança normativa. A família e a escola podem reforçar mensagens consistentes.</w:t>
      </w:r>
    </w:p>
    <w:p w14:paraId="295C098B" w14:textId="7A6D4CBE" w:rsidR="006E0E20" w:rsidRPr="00201649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A autoeficácia cresce quando metas são específicas e acompanhadas. Planos de ação pessoais ajudam a transformar intenção em prática. Feedback regular e celebração de </w:t>
      </w:r>
      <w:r w:rsidRPr="003851A3">
        <w:rPr>
          <w:lang w:val="pt-PT"/>
        </w:rPr>
        <w:lastRenderedPageBreak/>
        <w:t xml:space="preserve">conquistas mantêm engajamento. Materiais visuais simples consolidam mensagens chave. </w:t>
      </w:r>
      <w:r w:rsidRPr="00201649">
        <w:rPr>
          <w:lang w:val="pt-PT"/>
        </w:rPr>
        <w:t>A repetição em múltiplos canais evita o esquecimento.</w:t>
      </w:r>
    </w:p>
    <w:p w14:paraId="4AE6E77F" w14:textId="72FCDFF8" w:rsidR="006E0E20" w:rsidRPr="003851A3" w:rsidRDefault="003851A3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5992743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6E0E20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3 Desafios em comunidades carentes</w:t>
      </w:r>
      <w:bookmarkEnd w:id="7"/>
    </w:p>
    <w:p w14:paraId="174BD05A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A pobreza agrava barreiras de acesso à informação e serviços de prevenção. Custos indiretos, distância e estigma reduzem a procura por testagem e </w:t>
      </w:r>
      <w:proofErr w:type="spellStart"/>
      <w:r w:rsidRPr="003851A3">
        <w:rPr>
          <w:lang w:val="pt-PT"/>
        </w:rPr>
        <w:t>PrEP</w:t>
      </w:r>
      <w:proofErr w:type="spellEnd"/>
      <w:r w:rsidRPr="003851A3">
        <w:rPr>
          <w:lang w:val="pt-PT"/>
        </w:rPr>
        <w:t xml:space="preserve"> (UNAIDS, 2024). Falhas de infraestrutura de comunicação limitam o alcance de campanhas mediáticas. Baixa literacia em saúde exige linguagem simples e materiais visuais. A insegurança alimentar e outras prioridades imediatas competem com a prevenção.</w:t>
      </w:r>
    </w:p>
    <w:p w14:paraId="5284BEAC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O estigma relacionado ao HIV e à sexualidade desencoraja conversas abertas. A discriminação contra populações-chave reduz cobertura de serviços essenciais (</w:t>
      </w:r>
      <w:proofErr w:type="spellStart"/>
      <w:r w:rsidRPr="003851A3">
        <w:rPr>
          <w:lang w:val="pt-PT"/>
        </w:rPr>
        <w:t>World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Health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Organization</w:t>
      </w:r>
      <w:proofErr w:type="spellEnd"/>
      <w:r w:rsidRPr="003851A3">
        <w:rPr>
          <w:lang w:val="pt-PT"/>
        </w:rPr>
        <w:t>, 2022). Mensagens inclusivas e políticas de não discriminação devem ser comunicadas e aplicadas. Espaços seguros de diálogo comunitário ajudam a desfazer mitos. O anonimato na testagem móvel também diminui medo de exposição.</w:t>
      </w:r>
    </w:p>
    <w:p w14:paraId="4993AC3E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Barreiras linguísticas e culturais distorcem interpretações de mensagens. A </w:t>
      </w:r>
      <w:proofErr w:type="spellStart"/>
      <w:r w:rsidRPr="003851A3">
        <w:rPr>
          <w:lang w:val="pt-PT"/>
        </w:rPr>
        <w:t>co-criação</w:t>
      </w:r>
      <w:proofErr w:type="spellEnd"/>
      <w:r w:rsidRPr="003851A3">
        <w:rPr>
          <w:lang w:val="pt-PT"/>
        </w:rPr>
        <w:t xml:space="preserve"> com líderes locais e grupos de mulheres melhora contextualização e legitimidade (Dada, Singh, &amp; </w:t>
      </w:r>
      <w:proofErr w:type="spellStart"/>
      <w:r w:rsidRPr="003851A3">
        <w:rPr>
          <w:lang w:val="pt-PT"/>
        </w:rPr>
        <w:t>Hlongwa</w:t>
      </w:r>
      <w:proofErr w:type="spellEnd"/>
      <w:r w:rsidRPr="003851A3">
        <w:rPr>
          <w:lang w:val="pt-PT"/>
        </w:rPr>
        <w:t>, 2023). Diagnósticos participativos mapeiam crenças, metáforas e redes de influência. A tradução deve preservar sentido e evitar termos técnicos. Materiais devem refletir símbolos e realidades locais.</w:t>
      </w:r>
    </w:p>
    <w:p w14:paraId="4143A59C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A sobrecarga informacional e boatos em redes sociais exigem estratégias de verificação. Canais oficiais e “embaixadores de confiança” reduzem desinformação. Respostas rápidas a rumores demonstram transparência e cuidado. Protocolos de crise comunicacional evitam danos adicionais. Monitorização social deteta narrativas emergentes.</w:t>
      </w:r>
    </w:p>
    <w:p w14:paraId="1EF6133E" w14:textId="470C61C1" w:rsidR="006E0E20" w:rsidRPr="00201649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Descontinuidades de financiamento e rotatividade de profissionais fragilizam intervenções. Programas sustentáveis constroem capacidades locais e institucionalizam práticas (</w:t>
      </w:r>
      <w:proofErr w:type="spellStart"/>
      <w:r w:rsidRPr="003851A3">
        <w:rPr>
          <w:lang w:val="pt-PT"/>
        </w:rPr>
        <w:t>World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Health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Organization</w:t>
      </w:r>
      <w:proofErr w:type="spellEnd"/>
      <w:r w:rsidRPr="003851A3">
        <w:rPr>
          <w:lang w:val="pt-PT"/>
        </w:rPr>
        <w:t xml:space="preserve">, 2021). A formação de agentes comunitários e professores cria continuidade. Parcerias com rádios comunitárias reduzem custos de difusão. </w:t>
      </w:r>
      <w:r w:rsidRPr="00201649">
        <w:rPr>
          <w:lang w:val="pt-PT"/>
        </w:rPr>
        <w:t>A gestão adaptativa permite reorientar recursos consoante dados.</w:t>
      </w:r>
    </w:p>
    <w:p w14:paraId="614CF39C" w14:textId="6DB9FC98" w:rsidR="006E0E20" w:rsidRPr="003851A3" w:rsidRDefault="003851A3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5992744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6E0E20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4 Estratégias e canais de comunicação para prevenção do HIV</w:t>
      </w:r>
      <w:bookmarkEnd w:id="8"/>
    </w:p>
    <w:p w14:paraId="602A8974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A Comunicação para a Mudança Social e de Comportamento (SBCC) é uma abordagem que combina múltiplos canais para influenciar práticas e normas sociais (</w:t>
      </w:r>
      <w:proofErr w:type="spellStart"/>
      <w:r w:rsidRPr="003851A3">
        <w:rPr>
          <w:lang w:val="pt-PT"/>
        </w:rPr>
        <w:t>World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Health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Organization</w:t>
      </w:r>
      <w:proofErr w:type="spellEnd"/>
      <w:r w:rsidRPr="003851A3">
        <w:rPr>
          <w:lang w:val="pt-PT"/>
        </w:rPr>
        <w:t>, 2021). Ela utiliza rádio comunitária, teatro participativo, redes sociais e encontros presenciais para alcançar públicos diversos. Cada canal é escolhido de acordo com hábitos de consumo de informação e acessibilidade local. Mensagens coerentes e repetidas aumentam retenção. A articulação com serviços de saúde garante encaminhamento imediato.</w:t>
      </w:r>
    </w:p>
    <w:p w14:paraId="5AE8028D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A Comunicação para o Desenvolvimento (C4D) enfatiza a participação ativa da comunidade no desenho e avaliação das mensagens (United </w:t>
      </w:r>
      <w:proofErr w:type="spellStart"/>
      <w:r w:rsidRPr="003851A3">
        <w:rPr>
          <w:lang w:val="pt-PT"/>
        </w:rPr>
        <w:t>Nations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Children’s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Fund</w:t>
      </w:r>
      <w:proofErr w:type="spellEnd"/>
      <w:r w:rsidRPr="003851A3">
        <w:rPr>
          <w:lang w:val="pt-PT"/>
        </w:rPr>
        <w:t>, 2023). Essa abordagem promove o diálogo e a construção conjunta de soluções. Inclui consultas comunitárias, grupos focais e envolvimento de líderes tradicionais. Os resultados são mais duradouros quando a comunidade se sente proprietária da mensagem. Assim, a intervenção deixa de ser vista como externa.</w:t>
      </w:r>
    </w:p>
    <w:p w14:paraId="11B6CC25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O uso de tecnologias móveis (</w:t>
      </w:r>
      <w:proofErr w:type="spellStart"/>
      <w:r w:rsidRPr="003851A3">
        <w:rPr>
          <w:lang w:val="pt-PT"/>
        </w:rPr>
        <w:t>mHealth</w:t>
      </w:r>
      <w:proofErr w:type="spellEnd"/>
      <w:r w:rsidRPr="003851A3">
        <w:rPr>
          <w:lang w:val="pt-PT"/>
        </w:rPr>
        <w:t>) expandiu o alcance da comunicação preventiva. Aplicativos, SMS e plataformas de mensagens permitem enviar lembretes de consultas, dicas de prevenção e informação sobre serviços (</w:t>
      </w:r>
      <w:proofErr w:type="spellStart"/>
      <w:r w:rsidRPr="003851A3">
        <w:rPr>
          <w:lang w:val="pt-PT"/>
        </w:rPr>
        <w:t>Centers</w:t>
      </w:r>
      <w:proofErr w:type="spellEnd"/>
      <w:r w:rsidRPr="003851A3">
        <w:rPr>
          <w:lang w:val="pt-PT"/>
        </w:rPr>
        <w:t xml:space="preserve"> for </w:t>
      </w:r>
      <w:proofErr w:type="spellStart"/>
      <w:r w:rsidRPr="003851A3">
        <w:rPr>
          <w:lang w:val="pt-PT"/>
        </w:rPr>
        <w:t>Disease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Control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and</w:t>
      </w:r>
      <w:proofErr w:type="spellEnd"/>
      <w:r w:rsidRPr="003851A3">
        <w:rPr>
          <w:lang w:val="pt-PT"/>
        </w:rPr>
        <w:t xml:space="preserve"> </w:t>
      </w:r>
      <w:proofErr w:type="spellStart"/>
      <w:r w:rsidRPr="003851A3">
        <w:rPr>
          <w:lang w:val="pt-PT"/>
        </w:rPr>
        <w:t>Prevention</w:t>
      </w:r>
      <w:proofErr w:type="spellEnd"/>
      <w:r w:rsidRPr="003851A3">
        <w:rPr>
          <w:lang w:val="pt-PT"/>
        </w:rPr>
        <w:t>, 2025). Esses canais permitem segmentação por idade, género e localização. Além disso, facilitam monitoramento de respostas e adaptação rápida. A privacidade deve ser protegida para evitar riscos adicionais.</w:t>
      </w:r>
    </w:p>
    <w:p w14:paraId="2CC250A7" w14:textId="77777777" w:rsidR="006E0E20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Campanhas multimédia combinam canais tradicionais e digitais para reforçar mensagens. A repetição em diferentes formatos — spots de rádio, vídeos curtos e cartazes — aumenta a probabilidade de assimilação. A integração com eventos comunitários amplia a visibilidade. Parcerias com influenciadores locais geram maior engajamento. A coerência visual e verbal fortalece a marca da campanha.</w:t>
      </w:r>
    </w:p>
    <w:p w14:paraId="4EE61DDD" w14:textId="4165A039" w:rsidR="00180A19" w:rsidRPr="003851A3" w:rsidRDefault="006E0E20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A escolha do canal depende de fatores como custo, alcance e relevância cultural. Em áreas rurais, rádios comunitárias e teatro são altamente eficazes. Em contextos urbanos, redes sociais e aplicativos de mensagens têm maior penetração. O uso combinado maximiza resultados (UNAIDS, 2024). O objetivo é garantir que a informação correta chegue no momento certo à pessoa certa.</w:t>
      </w:r>
    </w:p>
    <w:p w14:paraId="75439B60" w14:textId="77777777" w:rsidR="003851A3" w:rsidRPr="003851A3" w:rsidRDefault="003851A3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9" w:name="_Toc205992745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III</w:t>
      </w:r>
      <w:bookmarkEnd w:id="9"/>
    </w:p>
    <w:p w14:paraId="1FFED119" w14:textId="4FA77612" w:rsidR="00180A19" w:rsidRPr="003851A3" w:rsidRDefault="003851A3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5992746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180A19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10"/>
    </w:p>
    <w:p w14:paraId="0DA87717" w14:textId="77777777" w:rsidR="00180A19" w:rsidRPr="003851A3" w:rsidRDefault="00180A19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O presente trabalho utiliza uma abordagem </w:t>
      </w:r>
      <w:r w:rsidRPr="003851A3">
        <w:rPr>
          <w:rStyle w:val="Forte"/>
          <w:lang w:val="pt-PT"/>
        </w:rPr>
        <w:t>qualitativa</w:t>
      </w:r>
      <w:r w:rsidRPr="003851A3">
        <w:rPr>
          <w:lang w:val="pt-PT"/>
        </w:rPr>
        <w:t xml:space="preserve">, com levantamento bibliográfico e análise documental, para compreender o papel da comunicação em saúde na promoção de habilidades de vida e prevenção do HIV em comunidades carentes. Foram consultados livros, artigos científicos, relatórios de organizações internacionais como a OMS e a UNAIDS, além de manuais de comunicação em saúde, visando obter informações atualizadas e relevantes. A pesquisa inclui </w:t>
      </w:r>
      <w:r w:rsidRPr="003851A3">
        <w:rPr>
          <w:rStyle w:val="Forte"/>
          <w:lang w:val="pt-PT"/>
        </w:rPr>
        <w:t>análise de dados secundários</w:t>
      </w:r>
      <w:r w:rsidRPr="003851A3">
        <w:rPr>
          <w:lang w:val="pt-PT"/>
        </w:rPr>
        <w:t xml:space="preserve"> sobre a prevalência do HIV, práticas educativas e programas de prevenção implementados em diferentes contextos. Também foi realizada uma </w:t>
      </w:r>
      <w:r w:rsidRPr="003851A3">
        <w:rPr>
          <w:rStyle w:val="Forte"/>
          <w:lang w:val="pt-PT"/>
        </w:rPr>
        <w:t>revisão crítica</w:t>
      </w:r>
      <w:r w:rsidRPr="003851A3">
        <w:rPr>
          <w:lang w:val="pt-PT"/>
        </w:rPr>
        <w:t xml:space="preserve"> das estratégias de comunicação e das metodologias de habilidades de vida utilizadas em comunidades vulneráveis.</w:t>
      </w:r>
    </w:p>
    <w:p w14:paraId="12ED5A04" w14:textId="77777777" w:rsidR="00180A19" w:rsidRPr="003851A3" w:rsidRDefault="00180A19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>Além disso, foram consideradas experiências de campo relatadas em estudos de caso, envolvendo programas comunitários de educação em saúde, campanhas de sensibilização e utilização de tecnologias móveis (</w:t>
      </w:r>
      <w:proofErr w:type="spellStart"/>
      <w:r w:rsidRPr="003851A3">
        <w:rPr>
          <w:lang w:val="pt-PT"/>
        </w:rPr>
        <w:t>mHealth</w:t>
      </w:r>
      <w:proofErr w:type="spellEnd"/>
      <w:r w:rsidRPr="003851A3">
        <w:rPr>
          <w:lang w:val="pt-PT"/>
        </w:rPr>
        <w:t xml:space="preserve">). A abordagem permitiu identificar </w:t>
      </w:r>
      <w:r w:rsidRPr="003851A3">
        <w:rPr>
          <w:rStyle w:val="Forte"/>
          <w:lang w:val="pt-PT"/>
        </w:rPr>
        <w:t>desafios, barreiras e boas práticas</w:t>
      </w:r>
      <w:r w:rsidRPr="003851A3">
        <w:rPr>
          <w:lang w:val="pt-PT"/>
        </w:rPr>
        <w:t xml:space="preserve"> na implementação dessas estratégias em comunidades carentes. Os dados foram organizados em categorias temáticas, incluindo canais de comunicação, participação comunitária, estigma, gênero e acessibilidade. A interpretação baseou-se em triangulação de fontes, garantindo consistência e confiabilidade das informações.</w:t>
      </w:r>
    </w:p>
    <w:p w14:paraId="36A308D2" w14:textId="77777777" w:rsidR="00180A19" w:rsidRPr="003851A3" w:rsidRDefault="00180A19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A metodologia adotada privilegia a compreensão </w:t>
      </w:r>
      <w:r w:rsidRPr="003851A3">
        <w:rPr>
          <w:rStyle w:val="Forte"/>
          <w:lang w:val="pt-PT"/>
        </w:rPr>
        <w:t>integral do fenômeno</w:t>
      </w:r>
      <w:r w:rsidRPr="003851A3">
        <w:rPr>
          <w:lang w:val="pt-PT"/>
        </w:rPr>
        <w:t>, combinando informações quantitativas e qualitativas. O levantamento de bibliografia internacional e nacional permitiu contextualizar o problema no cenário global e local. Foram priorizados materiais publicados nos últimos cinco anos, garantindo atualidade das referências. O trabalho não envolveu coleta de dados primários com participantes, mas analisou resultados de pesquisas anteriores de forma crítica. Dessa forma, a metodologia assegura base teórica sólida e aplicabilidade prática das conclusões.</w:t>
      </w:r>
    </w:p>
    <w:p w14:paraId="27963110" w14:textId="77777777" w:rsidR="00180A19" w:rsidRPr="003851A3" w:rsidRDefault="00180A19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t xml:space="preserve">O estudo também seguiu critérios éticos de pesquisa, respeitando </w:t>
      </w:r>
      <w:r w:rsidRPr="003851A3">
        <w:rPr>
          <w:rStyle w:val="Forte"/>
          <w:lang w:val="pt-PT"/>
        </w:rPr>
        <w:t>direitos autorais e credibilidade das fontes</w:t>
      </w:r>
      <w:r w:rsidRPr="003851A3">
        <w:rPr>
          <w:lang w:val="pt-PT"/>
        </w:rPr>
        <w:t>. A seleção das referências levou em conta relevância científica, atualização e alinhamento com os objetivos do trabalho. A análise dos conteúdos buscou identificar padrões, lacunas e recomendações para ações de comunicação em saúde e prevenção do HIV. Essa metodologia garante que as conclusões apresentadas estejam fundamentadas em evidências confiáveis e contextualizadas.</w:t>
      </w:r>
    </w:p>
    <w:p w14:paraId="47E5054F" w14:textId="77777777" w:rsidR="00180A19" w:rsidRPr="003851A3" w:rsidRDefault="00180A19" w:rsidP="003851A3">
      <w:pPr>
        <w:pStyle w:val="NormalWeb"/>
        <w:spacing w:line="360" w:lineRule="auto"/>
        <w:ind w:firstLine="706"/>
        <w:jc w:val="both"/>
        <w:rPr>
          <w:lang w:val="pt-PT"/>
        </w:rPr>
      </w:pPr>
      <w:r w:rsidRPr="003851A3">
        <w:rPr>
          <w:lang w:val="pt-PT"/>
        </w:rPr>
        <w:lastRenderedPageBreak/>
        <w:t xml:space="preserve">Por fim, a metodologia adotada permite gerar </w:t>
      </w:r>
      <w:r w:rsidRPr="003851A3">
        <w:rPr>
          <w:rStyle w:val="Forte"/>
          <w:lang w:val="pt-PT"/>
        </w:rPr>
        <w:t>insights para práticas educativas e comunitárias</w:t>
      </w:r>
      <w:r w:rsidRPr="003851A3">
        <w:rPr>
          <w:lang w:val="pt-PT"/>
        </w:rPr>
        <w:t>, oferecendo subsídios para políticas de prevenção do HIV em contextos vulneráveis. A articulação entre revisão bibliográfica, análise documental e avaliação de estratégias comunitárias possibilita compreender de forma ampla os fatores que influenciam a comunicação em saúde. Assim, o trabalho contribui para a promoção de habilidades de vida e fortalecimento de programas preventivos em comunidades carentes.</w:t>
      </w:r>
    </w:p>
    <w:p w14:paraId="251A800D" w14:textId="77777777" w:rsidR="006E0E20" w:rsidRPr="006E0E20" w:rsidRDefault="006E0E20" w:rsidP="006E0E20">
      <w:pPr>
        <w:pStyle w:val="NormalWeb"/>
        <w:rPr>
          <w:lang w:val="pt-PT"/>
        </w:rPr>
      </w:pPr>
    </w:p>
    <w:p w14:paraId="5EC764CA" w14:textId="77777777" w:rsidR="00A744B0" w:rsidRDefault="00A744B0" w:rsidP="002956B3">
      <w:pPr>
        <w:ind w:firstLine="70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5C5339F" w14:textId="410EF115" w:rsidR="000845E6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205992747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r w:rsidR="003851A3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</w:t>
      </w:r>
      <w:bookmarkEnd w:id="11"/>
    </w:p>
    <w:p w14:paraId="46DFC7FB" w14:textId="7483A849" w:rsidR="004745A7" w:rsidRPr="003851A3" w:rsidRDefault="003851A3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2" w:name="_Toc205992748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</w:t>
      </w:r>
      <w:r w:rsidR="004745A7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.1 Considerações finais</w:t>
      </w:r>
      <w:bookmarkEnd w:id="12"/>
    </w:p>
    <w:p w14:paraId="449C8B3D" w14:textId="77777777" w:rsidR="00180A19" w:rsidRPr="00180A19" w:rsidRDefault="00180A19" w:rsidP="00180A19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180A19">
        <w:rPr>
          <w:rFonts w:ascii="Times New Roman" w:hAnsi="Times New Roman" w:cs="Times New Roman"/>
          <w:sz w:val="24"/>
          <w:szCs w:val="24"/>
        </w:rPr>
        <w:t>O presente trabalho demonstrou que a comunicação em saúde desempenha papel central na promoção de habilidades de vida e na prevenção do HIV em comunidades carentes. A metodologia utilizada, baseada em revisão bibliográfica, análise documental e estudo de casos, permitiu identificar estratégias eficazes, desafios enfrentados e boas práticas em diferentes contextos. A análise das informações evidenciou que canais diversificados, participação comunitária e mensagens culturalmente adaptadas são essenciais para aumentar a adesão às práticas preventivas.</w:t>
      </w:r>
    </w:p>
    <w:p w14:paraId="5ABF4C42" w14:textId="77777777" w:rsidR="00180A19" w:rsidRPr="00180A19" w:rsidRDefault="00180A19" w:rsidP="00180A19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180A19">
        <w:rPr>
          <w:rFonts w:ascii="Times New Roman" w:hAnsi="Times New Roman" w:cs="Times New Roman"/>
          <w:sz w:val="24"/>
          <w:szCs w:val="24"/>
        </w:rPr>
        <w:t>A pesquisa mostrou que o desenvolvimento de habilidades de vida, como tomada de decisão segura, negociação do uso de preservativos e gestão de riscos, fortalece a capacidade das pessoas de proteger sua saúde. A metodologia permitiu comparar resultados de diferentes programas e mapear barreiras sociais, econômicas e culturais, revelando que o estigma, a pobreza e a desigualdade de gênero ainda limitam a efetividade das intervenções. O levantamento bibliográfico possibilitou também identificar experiências bem-sucedidas de integração entre comunicação em saúde e educação comunitária, com impacto positivo na redução de comportamentos de risco.</w:t>
      </w:r>
    </w:p>
    <w:p w14:paraId="053B1107" w14:textId="77777777" w:rsidR="00180A19" w:rsidRPr="00180A19" w:rsidRDefault="00180A19" w:rsidP="00180A19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180A19">
        <w:rPr>
          <w:rFonts w:ascii="Times New Roman" w:hAnsi="Times New Roman" w:cs="Times New Roman"/>
          <w:sz w:val="24"/>
          <w:szCs w:val="24"/>
        </w:rPr>
        <w:t xml:space="preserve">A triangulação de dados e fontes garantiu confiabilidade às conclusões, mostrando que estratégias participativas, que envolvem líderes comunitários, pares e agentes de saúde, aumentam a aceitação das mensagens e promovem mudanças comportamentais sustentáveis. Além disso, a metodologia evidenciou que o uso de tecnologias móveis e </w:t>
      </w:r>
      <w:proofErr w:type="spellStart"/>
      <w:r w:rsidRPr="00180A19">
        <w:rPr>
          <w:rFonts w:ascii="Times New Roman" w:hAnsi="Times New Roman" w:cs="Times New Roman"/>
          <w:sz w:val="24"/>
          <w:szCs w:val="24"/>
        </w:rPr>
        <w:t>mídias</w:t>
      </w:r>
      <w:proofErr w:type="spellEnd"/>
      <w:r w:rsidRPr="00180A19">
        <w:rPr>
          <w:rFonts w:ascii="Times New Roman" w:hAnsi="Times New Roman" w:cs="Times New Roman"/>
          <w:sz w:val="24"/>
          <w:szCs w:val="24"/>
        </w:rPr>
        <w:t xml:space="preserve"> digitais complementa o alcance das campanhas tradicionais, ampliando o acesso à informação em contextos vulneráveis.</w:t>
      </w:r>
    </w:p>
    <w:p w14:paraId="602622BA" w14:textId="77777777" w:rsidR="00180A19" w:rsidRPr="00180A19" w:rsidRDefault="00180A19" w:rsidP="00180A19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180A19">
        <w:rPr>
          <w:rFonts w:ascii="Times New Roman" w:hAnsi="Times New Roman" w:cs="Times New Roman"/>
          <w:sz w:val="24"/>
          <w:szCs w:val="24"/>
        </w:rPr>
        <w:t>Por fim, o estudo permite concluir que a comunicação em saúde não deve se limitar à transmissão de informações, mas atuar como ferramenta de empoderamento social e educacional. As evidências reunidas indicam que programas que articulam habilidades de vida, participação comunitária e canais de comunicação diversificados apresentam maior potencial de sucesso. A integração entre a metodologia aplicada e os resultados obtidos oferece subsídios práticos para a implementação de políticas e programas mais eficazes de prevenção do HIV em comunidades carentes.</w:t>
      </w:r>
    </w:p>
    <w:p w14:paraId="12A2565E" w14:textId="315CEFB2" w:rsidR="000845E6" w:rsidRDefault="00180A19" w:rsidP="00180A19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A19">
        <w:rPr>
          <w:rFonts w:ascii="Times New Roman" w:hAnsi="Times New Roman" w:cs="Times New Roman"/>
          <w:sz w:val="24"/>
          <w:szCs w:val="24"/>
        </w:rPr>
        <w:t xml:space="preserve">Em síntese, o trabalho reforça que a promoção da saúde depende de abordagens estratégicas, participativas e contextualmente adaptadas, capazes de transformar informação </w:t>
      </w:r>
      <w:r w:rsidRPr="00180A19">
        <w:rPr>
          <w:rFonts w:ascii="Times New Roman" w:hAnsi="Times New Roman" w:cs="Times New Roman"/>
          <w:sz w:val="24"/>
          <w:szCs w:val="24"/>
        </w:rPr>
        <w:lastRenderedPageBreak/>
        <w:t>em ação, contribuindo para a redução da vulnerabilidade ao HIV e o fortalecimento da autonomia das comunidades.</w:t>
      </w:r>
      <w:r w:rsidR="000845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138681" w14:textId="392D5F75" w:rsidR="000845E6" w:rsidRPr="00201649" w:rsidRDefault="000845E6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3" w:name="_Toc205992749"/>
      <w:proofErr w:type="spellStart"/>
      <w:r w:rsidRPr="002016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Referencia</w:t>
      </w:r>
      <w:proofErr w:type="spellEnd"/>
      <w:r w:rsidRPr="002016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20164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bibligraficas</w:t>
      </w:r>
      <w:bookmarkEnd w:id="13"/>
      <w:proofErr w:type="spellEnd"/>
    </w:p>
    <w:p w14:paraId="4EA84CCB" w14:textId="77777777" w:rsidR="006E0E20" w:rsidRPr="006E0E20" w:rsidRDefault="006E0E20" w:rsidP="00201649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Centers for Disease Control and Prevention. (2025). </w:t>
      </w:r>
      <w:r w:rsidRPr="006E0E2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HIV prevention communication strategies</w:t>
      </w: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>. Atlanta, GA: CDC.</w:t>
      </w:r>
    </w:p>
    <w:p w14:paraId="2996DB98" w14:textId="77777777" w:rsidR="006E0E20" w:rsidRPr="006E0E20" w:rsidRDefault="006E0E20" w:rsidP="00201649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1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Dada, S., Singh, R., &amp; </w:t>
      </w:r>
      <w:proofErr w:type="spellStart"/>
      <w:r w:rsidRPr="00201649">
        <w:rPr>
          <w:rFonts w:ascii="Times New Roman" w:eastAsia="Times New Roman" w:hAnsi="Times New Roman" w:cs="Times New Roman"/>
          <w:sz w:val="24"/>
          <w:szCs w:val="24"/>
          <w:lang w:val="en-US"/>
        </w:rPr>
        <w:t>Hlongwa</w:t>
      </w:r>
      <w:proofErr w:type="spellEnd"/>
      <w:r w:rsidRPr="00201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(2023). </w:t>
      </w: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Community engagement for HIV prevention: A participatory approach. </w:t>
      </w:r>
      <w:r w:rsidRPr="006E0E2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African Journal of AIDS Research, 22</w:t>
      </w: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>(1), 45-56.</w:t>
      </w:r>
    </w:p>
    <w:p w14:paraId="1B731383" w14:textId="77777777" w:rsidR="006E0E20" w:rsidRPr="006E0E20" w:rsidRDefault="006E0E20" w:rsidP="00201649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UNAIDS. (2024). </w:t>
      </w:r>
      <w:r w:rsidRPr="006E0E2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AIDS update 2024</w:t>
      </w: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Geneva: Joint United Nations </w:t>
      </w:r>
      <w:proofErr w:type="spellStart"/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>Programme</w:t>
      </w:r>
      <w:proofErr w:type="spellEnd"/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HIV/AIDS.</w:t>
      </w:r>
    </w:p>
    <w:p w14:paraId="28C05265" w14:textId="77777777" w:rsidR="006E0E20" w:rsidRPr="006E0E20" w:rsidRDefault="006E0E20" w:rsidP="00201649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UNAIDS. (2025). </w:t>
      </w:r>
      <w:r w:rsidRPr="006E0E2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Women and HIV in sub-Saharan Africa</w:t>
      </w: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Geneva: Joint United Nations </w:t>
      </w:r>
      <w:proofErr w:type="spellStart"/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>Programme</w:t>
      </w:r>
      <w:proofErr w:type="spellEnd"/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HIV/AIDS.</w:t>
      </w:r>
    </w:p>
    <w:p w14:paraId="7525C34E" w14:textId="77777777" w:rsidR="006E0E20" w:rsidRPr="006E0E20" w:rsidRDefault="006E0E20" w:rsidP="00201649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United Nations Children’s Fund. (2023). </w:t>
      </w:r>
      <w:r w:rsidRPr="006E0E2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Communication for Development: A framework for action</w:t>
      </w: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>. New York: UNICEF.</w:t>
      </w:r>
    </w:p>
    <w:p w14:paraId="44C286A4" w14:textId="77777777" w:rsidR="006E0E20" w:rsidRPr="006E0E20" w:rsidRDefault="006E0E20" w:rsidP="00201649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World Health Organization. (2021). </w:t>
      </w:r>
      <w:r w:rsidRPr="006E0E2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Health communication for behavioral impact: Guidelines and tools</w:t>
      </w: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>. Geneva: WHO.</w:t>
      </w:r>
    </w:p>
    <w:p w14:paraId="41AF0C68" w14:textId="3687936D" w:rsidR="008B0DCA" w:rsidRPr="00582757" w:rsidRDefault="006E0E20" w:rsidP="00201649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World Health Organization. (2022). </w:t>
      </w:r>
      <w:r w:rsidRPr="006E0E2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Addressing stigma and discrimination in health care settings</w:t>
      </w:r>
      <w:r w:rsidRPr="006E0E20">
        <w:rPr>
          <w:rFonts w:ascii="Times New Roman" w:eastAsia="Times New Roman" w:hAnsi="Times New Roman" w:cs="Times New Roman"/>
          <w:sz w:val="24"/>
          <w:szCs w:val="24"/>
          <w:lang w:val="en-US"/>
        </w:rPr>
        <w:t>. Geneva: WHO.</w:t>
      </w:r>
    </w:p>
    <w:sectPr w:rsidR="008B0DCA" w:rsidRPr="00582757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B69F" w14:textId="77777777" w:rsidR="002B4694" w:rsidRDefault="002B4694" w:rsidP="00E84FEA">
      <w:pPr>
        <w:spacing w:after="0" w:line="240" w:lineRule="auto"/>
      </w:pPr>
      <w:r>
        <w:separator/>
      </w:r>
    </w:p>
  </w:endnote>
  <w:endnote w:type="continuationSeparator" w:id="0">
    <w:p w14:paraId="75E0868E" w14:textId="77777777" w:rsidR="002B4694" w:rsidRDefault="002B4694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AA21" w14:textId="77777777" w:rsidR="002B4694" w:rsidRDefault="002B4694" w:rsidP="00E84FEA">
      <w:pPr>
        <w:spacing w:after="0" w:line="240" w:lineRule="auto"/>
      </w:pPr>
      <w:r>
        <w:separator/>
      </w:r>
    </w:p>
  </w:footnote>
  <w:footnote w:type="continuationSeparator" w:id="0">
    <w:p w14:paraId="470D2BF0" w14:textId="77777777" w:rsidR="002B4694" w:rsidRDefault="002B4694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6244BD"/>
    <w:multiLevelType w:val="hybridMultilevel"/>
    <w:tmpl w:val="8DB83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06"/>
    <w:multiLevelType w:val="hybridMultilevel"/>
    <w:tmpl w:val="E70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37653"/>
    <w:multiLevelType w:val="hybridMultilevel"/>
    <w:tmpl w:val="23FE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845E6"/>
    <w:rsid w:val="000A6359"/>
    <w:rsid w:val="000F580D"/>
    <w:rsid w:val="00173449"/>
    <w:rsid w:val="00180A19"/>
    <w:rsid w:val="001B76B3"/>
    <w:rsid w:val="001E09CD"/>
    <w:rsid w:val="001E3FDF"/>
    <w:rsid w:val="00201649"/>
    <w:rsid w:val="002174D4"/>
    <w:rsid w:val="00285962"/>
    <w:rsid w:val="002956B3"/>
    <w:rsid w:val="002A1B27"/>
    <w:rsid w:val="002A49D5"/>
    <w:rsid w:val="002B4694"/>
    <w:rsid w:val="002C3877"/>
    <w:rsid w:val="002E74AA"/>
    <w:rsid w:val="002F2FEC"/>
    <w:rsid w:val="003851A3"/>
    <w:rsid w:val="003A150F"/>
    <w:rsid w:val="003B2D43"/>
    <w:rsid w:val="003D1425"/>
    <w:rsid w:val="00410BE3"/>
    <w:rsid w:val="004745A7"/>
    <w:rsid w:val="004958ED"/>
    <w:rsid w:val="004C1DEC"/>
    <w:rsid w:val="004F5B9A"/>
    <w:rsid w:val="00582757"/>
    <w:rsid w:val="005853E9"/>
    <w:rsid w:val="005F62B6"/>
    <w:rsid w:val="006059F0"/>
    <w:rsid w:val="00681AC2"/>
    <w:rsid w:val="006A3B53"/>
    <w:rsid w:val="006E0E20"/>
    <w:rsid w:val="006E4544"/>
    <w:rsid w:val="00735AF3"/>
    <w:rsid w:val="007E6FA6"/>
    <w:rsid w:val="00802CD1"/>
    <w:rsid w:val="008A0290"/>
    <w:rsid w:val="008B0DCA"/>
    <w:rsid w:val="008C3EDA"/>
    <w:rsid w:val="008D65A4"/>
    <w:rsid w:val="008E5190"/>
    <w:rsid w:val="00911E88"/>
    <w:rsid w:val="009A3A9E"/>
    <w:rsid w:val="009F7427"/>
    <w:rsid w:val="00A022E3"/>
    <w:rsid w:val="00A05DE4"/>
    <w:rsid w:val="00A17742"/>
    <w:rsid w:val="00A24D71"/>
    <w:rsid w:val="00A744B0"/>
    <w:rsid w:val="00AB182E"/>
    <w:rsid w:val="00AB376F"/>
    <w:rsid w:val="00AE5554"/>
    <w:rsid w:val="00AF4AFF"/>
    <w:rsid w:val="00B90477"/>
    <w:rsid w:val="00B95721"/>
    <w:rsid w:val="00BA77F7"/>
    <w:rsid w:val="00BD0CC5"/>
    <w:rsid w:val="00BE5FA2"/>
    <w:rsid w:val="00C33661"/>
    <w:rsid w:val="00C570F0"/>
    <w:rsid w:val="00CE1773"/>
    <w:rsid w:val="00DF46BD"/>
    <w:rsid w:val="00E25EC4"/>
    <w:rsid w:val="00E57086"/>
    <w:rsid w:val="00E657AA"/>
    <w:rsid w:val="00E73983"/>
    <w:rsid w:val="00E84FEA"/>
    <w:rsid w:val="00EE2899"/>
    <w:rsid w:val="00F62653"/>
    <w:rsid w:val="00F822F1"/>
    <w:rsid w:val="00F93F9A"/>
    <w:rsid w:val="00F968F4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  <w:style w:type="paragraph" w:styleId="NormalWeb">
    <w:name w:val="Normal (Web)"/>
    <w:basedOn w:val="Normal"/>
    <w:uiPriority w:val="99"/>
    <w:unhideWhenUsed/>
    <w:rsid w:val="00FD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lative">
    <w:name w:val="relative"/>
    <w:basedOn w:val="Tipodeletrapredefinidodopargrafo"/>
    <w:rsid w:val="00582757"/>
  </w:style>
  <w:style w:type="paragraph" w:styleId="ndice1">
    <w:name w:val="toc 1"/>
    <w:basedOn w:val="Normal"/>
    <w:next w:val="Normal"/>
    <w:autoRedefine/>
    <w:uiPriority w:val="39"/>
    <w:unhideWhenUsed/>
    <w:rsid w:val="003851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42</cp:revision>
  <cp:lastPrinted>2025-08-13T14:39:00Z</cp:lastPrinted>
  <dcterms:created xsi:type="dcterms:W3CDTF">2025-03-27T13:54:00Z</dcterms:created>
  <dcterms:modified xsi:type="dcterms:W3CDTF">2025-08-13T14:40:00Z</dcterms:modified>
</cp:coreProperties>
</file>