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77777777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Instituto Superior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007B5C79" w14:textId="28E412FF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 w:rsidR="00840B82">
        <w:rPr>
          <w:rFonts w:ascii="Times New Roman" w:hAnsi="Times New Roman" w:cs="Times New Roman"/>
          <w:sz w:val="24"/>
          <w:szCs w:val="24"/>
          <w:lang w:val="pt-PT"/>
        </w:rPr>
        <w:t xml:space="preserve">Economia e Gestão </w:t>
      </w:r>
    </w:p>
    <w:p w14:paraId="179738E5" w14:textId="03682B2B"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Curso de Licenciatura em </w:t>
      </w:r>
      <w:r w:rsidR="00363E13">
        <w:rPr>
          <w:rFonts w:ascii="Times New Roman" w:hAnsi="Times New Roman" w:cs="Times New Roman"/>
          <w:sz w:val="24"/>
          <w:szCs w:val="24"/>
          <w:lang w:val="pt-PT"/>
        </w:rPr>
        <w:t>gestão ambiental</w:t>
      </w:r>
    </w:p>
    <w:p w14:paraId="1F6E5FBE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685BC3FD" w14:textId="38BE9CC2" w:rsidR="00EC5E2D" w:rsidRPr="00363E13" w:rsidRDefault="00363E13" w:rsidP="00EC5E2D">
      <w:pPr>
        <w:pStyle w:val="Default"/>
        <w:spacing w:line="360" w:lineRule="auto"/>
        <w:jc w:val="center"/>
        <w:rPr>
          <w:lang w:val="pt-PT"/>
        </w:rPr>
      </w:pPr>
      <w:r w:rsidRPr="00363E13">
        <w:rPr>
          <w:b/>
          <w:lang w:val="pt-PT"/>
        </w:rPr>
        <w:t>Luciano Albano Njonjonjo</w:t>
      </w:r>
      <w:r w:rsidR="00556EE9">
        <w:rPr>
          <w:b/>
          <w:lang w:val="pt-PT"/>
        </w:rPr>
        <w:t>:</w:t>
      </w:r>
      <w:r w:rsidR="00EC5E2D" w:rsidRPr="00363E13">
        <w:rPr>
          <w:b/>
          <w:bCs/>
          <w:lang w:val="pt-PT"/>
        </w:rPr>
        <w:t xml:space="preserve"> </w:t>
      </w:r>
      <w:r w:rsidRPr="00F56E1F">
        <w:rPr>
          <w:b/>
          <w:bCs/>
          <w:color w:val="36383C"/>
          <w:shd w:val="clear" w:color="auto" w:fill="FFFFFF"/>
          <w:lang w:val="pt-PT"/>
        </w:rPr>
        <w:t>51230481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25968BE7" w14:textId="3D8C36D9" w:rsidR="000162F2" w:rsidRDefault="000162F2" w:rsidP="00637B3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Sustentabilidade do uso do gás (GNL) para fins domésticos </w:t>
      </w:r>
    </w:p>
    <w:p w14:paraId="5F8F1E5E" w14:textId="57745966" w:rsidR="00B604F3" w:rsidRPr="00371D4A" w:rsidRDefault="00AB2E06" w:rsidP="00637B3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</w:p>
    <w:p w14:paraId="090DB926" w14:textId="3424FB35" w:rsidR="00B604F3" w:rsidRPr="00371D4A" w:rsidRDefault="00050A17" w:rsidP="008E7B41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hAnsi="Times New Roman" w:cs="Times New Roman"/>
          <w:sz w:val="24"/>
          <w:szCs w:val="24"/>
          <w:lang w:val="pt-PT"/>
        </w:rPr>
        <w:t>O trabalho debruça acerca da sustentabilidade do uso do gás natural liquefeito (GNL) para fins domésticos, com enfoque na comunidade de Xai-Xai, na província de Gaza, em Moçambique. Considerando o crescente debate sobre transição energética e os desafios ambientais e sociais associados ao uso de fontes tradicionais como o carvão e a lenha, o estudo analisa o papel do GNL como alternativa energética mais limpa, eficiente e moderna no contexto doméstico. A análise é feita à luz das realidades locais, abordando questões ambientais, econômicas e socioculturais que influenciam sua adoção.</w:t>
      </w:r>
    </w:p>
    <w:p w14:paraId="568FF00E" w14:textId="4A727D82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 geral:</w:t>
      </w:r>
    </w:p>
    <w:p w14:paraId="4922B133" w14:textId="5AE484CF" w:rsidR="00B604F3" w:rsidRPr="00371D4A" w:rsidRDefault="00050A17" w:rsidP="00371D4A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hAnsi="Times New Roman" w:cs="Times New Roman"/>
          <w:sz w:val="24"/>
          <w:szCs w:val="24"/>
          <w:lang w:val="pt-PT"/>
        </w:rPr>
        <w:t>Analisar a sustentabilidade do uso do GNL para fins domésticos na comunidade de Xai-Xai</w:t>
      </w:r>
      <w:r w:rsidR="004427C1" w:rsidRPr="004427C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966964" w14:textId="0FA7234D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 específicos:</w:t>
      </w:r>
    </w:p>
    <w:p w14:paraId="0895F95A" w14:textId="134C925F" w:rsidR="00050A17" w:rsidRPr="00050A17" w:rsidRDefault="00050A17" w:rsidP="00050A17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Comparar o impacto ambiental do GNL com outras fontes de energia usadas em Xai-Xai.</w:t>
      </w:r>
    </w:p>
    <w:p w14:paraId="173D8447" w14:textId="77777777" w:rsidR="00050A17" w:rsidRPr="00050A17" w:rsidRDefault="00050A17" w:rsidP="00050A17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os principais usos domésticos do GNL na comunidade.</w:t>
      </w:r>
    </w:p>
    <w:p w14:paraId="232B7B23" w14:textId="1089D8BD" w:rsidR="00B604F3" w:rsidRPr="00371D4A" w:rsidRDefault="00050A17" w:rsidP="00050A17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Avaliar a sustentabilidade económica, sociocultural e ambiental do uso do GNL em Xai-Xai.</w:t>
      </w:r>
      <w:r w:rsidR="006F3291" w:rsidRPr="006F3291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734FE919" w14:textId="4D38642C" w:rsidR="00B604F3" w:rsidRPr="00371D4A" w:rsidRDefault="00371D4A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1.3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</w:t>
      </w:r>
    </w:p>
    <w:p w14:paraId="7380787A" w14:textId="6D234DC4" w:rsidR="00B604F3" w:rsidRPr="00371D4A" w:rsidRDefault="00050A17" w:rsidP="00371D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hAnsi="Times New Roman" w:cs="Times New Roman"/>
          <w:sz w:val="24"/>
          <w:szCs w:val="24"/>
          <w:lang w:val="pt-PT"/>
        </w:rPr>
        <w:t xml:space="preserve">Para o desenvolvimento deste trabalho, foi utilizada uma abordagem qualitativa com foco na comunidade de Xai-Xai, na província de Gaza. A investigação envolveu observações diretas no local, entrevistas semiestruturadas com residentes, comerciantes e agentes locais do setor </w:t>
      </w:r>
      <w:r w:rsidRPr="00050A17">
        <w:rPr>
          <w:rFonts w:ascii="Times New Roman" w:hAnsi="Times New Roman" w:cs="Times New Roman"/>
          <w:sz w:val="24"/>
          <w:szCs w:val="24"/>
          <w:lang w:val="pt-PT"/>
        </w:rPr>
        <w:lastRenderedPageBreak/>
        <w:t>energético, além da consulta a documentos oficiais do Instituto Nacional de Energia e da Electricidade de Moçambique. As visitas ocorreram entre março e abril de 2025, permitindo recolher dados sobre o uso do GNL no contexto doméstico. A informação recolhida foi organizada por temas, tendo como base os pilares da sustentabilidade: ambiental, económica e sociocultural</w:t>
      </w:r>
      <w:r w:rsidR="00B604F3" w:rsidRPr="00371D4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7B18761" w14:textId="083BE160" w:rsidR="00050A17" w:rsidRPr="000162F2" w:rsidRDefault="00BA4F92" w:rsidP="000162F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0162F2">
        <w:rPr>
          <w:rFonts w:ascii="Times New Roman" w:hAnsi="Times New Roman" w:cs="Times New Roman"/>
          <w:b/>
          <w:bCs/>
          <w:color w:val="auto"/>
          <w:lang w:val="pt-PT"/>
        </w:rPr>
        <w:t xml:space="preserve">2 </w:t>
      </w:r>
      <w:r w:rsidR="00050A17" w:rsidRPr="000162F2">
        <w:rPr>
          <w:rFonts w:ascii="Times New Roman" w:hAnsi="Times New Roman" w:cs="Times New Roman"/>
          <w:b/>
          <w:bCs/>
          <w:color w:val="auto"/>
          <w:lang w:val="pt-PT"/>
        </w:rPr>
        <w:t xml:space="preserve">Sustentabilidade </w:t>
      </w:r>
      <w:r w:rsidRPr="000162F2">
        <w:rPr>
          <w:rFonts w:ascii="Times New Roman" w:hAnsi="Times New Roman" w:cs="Times New Roman"/>
          <w:b/>
          <w:bCs/>
          <w:color w:val="auto"/>
          <w:lang w:val="pt-PT"/>
        </w:rPr>
        <w:t>ambiental do uso do gás (GNL) versus outras fontes de energia no local de estudo</w:t>
      </w:r>
    </w:p>
    <w:p w14:paraId="50A3853B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A sustentabilidade ambiental do uso do Gás Natural Liquefeito (GNL) na comunidade de Xai-Xai pode ser compreendida ao compará-lo com outras fontes de energia, como a madeira, carvão e eletricidade. De acordo com estudos realizados por fontes nacionais, a utilização do gás como fonte de energia doméstica apresenta vantagens significativas em termos de emissões de gases de efeito estufa (GEE) em comparação com fontes como o carvão e a biomassa (José &amp; Monteiro, 2019). O carvão, por exemplo, ainda é uma das principais fontes de energia para cozinhar na região, o que contribui para o desmatamento e degradação ambiental, além de poluir o ar com substâncias nocivas à saúde (Silva et al., 2020). Em contraste, o GNL, sendo uma fonte de energia mais limpa, emite significativamente menos CO2, o que contribui para a redução da pegada de carbono da comunidade (Matos, 2018).</w:t>
      </w:r>
    </w:p>
    <w:p w14:paraId="2C3AFEFA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No entanto, a disponibilidade de GNL em Xai-Xai é limitada, especialmente nas áreas rurais, devido à infraestrutura insuficiente para o fornecimento e armazenamento. Isso contrasta com a facilidade de acesso à biomassa e carvão, que são fontes abundantes e frequentemente utilizadas em áreas mais remotas (Chissano &amp; Faria, 2021). O impacto ambiental do uso do GNL pode ser mitigado se houver um aumento na sua adoção, acompanhado pela melhoria da infraestrutura de distribuição, o que reduziria a dependência de fontes de energia mais poluentes e não sustentáveis.</w:t>
      </w:r>
    </w:p>
    <w:p w14:paraId="6E548ECA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 xml:space="preserve">Por outro lado, a eletricidade, embora uma alternativa limpa, enfrenta desafios de fornecimento e é frequentemente instável em muitas áreas de Moçambique, o que leva as famílias a dependerem mais de fontes como o carvão e a madeira (Ribeiro, 2020). Mesmo quando a eletricidade está disponível, sua produção é em grande parte derivada de fontes não </w:t>
      </w:r>
      <w:r w:rsidRPr="000162F2">
        <w:rPr>
          <w:rFonts w:ascii="Times New Roman" w:hAnsi="Times New Roman" w:cs="Times New Roman"/>
          <w:sz w:val="24"/>
          <w:szCs w:val="24"/>
          <w:lang w:val="pt-PT"/>
        </w:rPr>
        <w:lastRenderedPageBreak/>
        <w:t>renováveis, como hidroeletricidade e termoelétricas a carvão, o que limita o impacto ambiental positivo desta fonte de energia.</w:t>
      </w:r>
    </w:p>
    <w:p w14:paraId="3CF6D0A5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A comparação entre o GNL e outras fontes de energia também deve considerar os custos de produção e transporte. O GNL é frequentemente importado, o que eleva o custo final para os consumidores locais. No entanto, se forem implementadas políticas eficazes de produção local e infraestrutura de transporte, o GNL poderia se tornar uma alternativa mais sustentável, economicamente viável e ambientalmente amigável para muitas famílias em Moçambique (Matos, 2018).</w:t>
      </w:r>
    </w:p>
    <w:p w14:paraId="52892F7B" w14:textId="7B8534C8" w:rsidR="00050A17" w:rsidRPr="000162F2" w:rsidRDefault="00050A17" w:rsidP="00900A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Em resumo, o uso do GNL, embora mais sustentável em comparação com o carvão e a madeira, ainda enfrenta desafios significativos relacionados à sua disponibilidade, infraestrutura e custos. Melhorias na distribuição e aumento da acessibilidade podem transformar o GNL em uma alternativa mais viável e sustentável para Moçambique.</w:t>
      </w:r>
    </w:p>
    <w:p w14:paraId="73EF61D0" w14:textId="7FDFD263" w:rsidR="00050A17" w:rsidRPr="000162F2" w:rsidRDefault="000162F2" w:rsidP="000162F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0162F2">
        <w:rPr>
          <w:rFonts w:ascii="Times New Roman" w:hAnsi="Times New Roman" w:cs="Times New Roman"/>
          <w:b/>
          <w:bCs/>
          <w:color w:val="auto"/>
          <w:lang w:val="pt-PT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lang w:val="pt-PT"/>
        </w:rPr>
        <w:t>P</w:t>
      </w:r>
      <w:r w:rsidRPr="000162F2">
        <w:rPr>
          <w:rFonts w:ascii="Times New Roman" w:hAnsi="Times New Roman" w:cs="Times New Roman"/>
          <w:b/>
          <w:bCs/>
          <w:color w:val="auto"/>
          <w:lang w:val="pt-PT"/>
        </w:rPr>
        <w:t>rincipais usos/aplicações do gás (GNL) para fins domésticos no local de estudo</w:t>
      </w:r>
    </w:p>
    <w:p w14:paraId="41886A7D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Na comunidade de Xai-Xai, o GNL é principalmente utilizado para fins de cozimento, sendo uma alternativa crescente ao uso do carvão e da madeira. A cozinha a gás tem se mostrado mais eficiente em termos de tempo e controle de temperatura, o que facilita a preparação de alimentos e reduz o tempo gasto em tarefas domésticas (Mudele, 2021). Além disso, o GNL tem sido utilizado para aquecimento de água, especialmente em áreas urbanas, onde há uma demanda crescente por soluções energéticas mais modernas e práticas (Pereira &amp; Sitoe, 2020).</w:t>
      </w:r>
    </w:p>
    <w:p w14:paraId="296A160D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O uso do GNL também tem ganhado popularidade em algumas áreas de comércio, como pequenos restaurantes e lojas de alimentos, devido à sua praticidade e eficiência em comparação com outras fontes de energia. Muitos empresários locais optaram pelo GNL devido à sua capacidade de oferecer uma chama mais controlada, que é ideal para o preparo de alimentos em grandes quantidades, algo que é um desafio com o uso de carvão ou madeira (Lima, 2019).</w:t>
      </w:r>
    </w:p>
    <w:p w14:paraId="65DCC5FD" w14:textId="7777777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 xml:space="preserve">No entanto, a utilização de GNL na comunidade de Xai-Xai ainda é limitada pela falta de conhecimento sobre os benefícios do GNL, bem como pelo custo associado ao seu uso. A maioria das famílias ainda depende do carvão e da madeira devido à acessibilidade e aos preços </w:t>
      </w:r>
      <w:r w:rsidRPr="000162F2">
        <w:rPr>
          <w:rFonts w:ascii="Times New Roman" w:hAnsi="Times New Roman" w:cs="Times New Roman"/>
          <w:sz w:val="24"/>
          <w:szCs w:val="24"/>
          <w:lang w:val="pt-PT"/>
        </w:rPr>
        <w:lastRenderedPageBreak/>
        <w:t>mais baixos dessas fontes de energia, mesmo considerando os impactos ambientais negativos a longo prazo (José &amp; Monteiro, 2019).</w:t>
      </w:r>
    </w:p>
    <w:p w14:paraId="61A46FDF" w14:textId="6C482EF8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Além disso, a prática de usar GNL para aquecer água é uma aplicação ainda incipiente, com poucos aparelhos e sistemas de aquecimento disponíveis. Isso é um reflexo da infraestrutural local limitada e da falta de incentivos para incentivar o uso de tecnologias que permitam o aquecimento de água de forma mais eficiente e sustentável (Chissano &amp; Faria, 2021).</w:t>
      </w:r>
    </w:p>
    <w:p w14:paraId="3D3E940B" w14:textId="55716D91" w:rsidR="00050A17" w:rsidRPr="000162F2" w:rsidRDefault="00050A17" w:rsidP="00900A0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Em termos de adaptação, algumas iniciativas comunitárias têm promovido a utilização de GNL de forma mais integrada, incentivando a troca de combustíveis mais poluentes por opções mais limpas. Isso tem sido especialmente eficaz em áreas urbanas, onde o fornecimento de GNL é mais estável e o acesso à informação é mais comum (Matos, 2018).</w:t>
      </w:r>
    </w:p>
    <w:p w14:paraId="24C24CD4" w14:textId="3ACAC23C" w:rsidR="00050A17" w:rsidRPr="000162F2" w:rsidRDefault="000162F2" w:rsidP="000162F2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0162F2">
        <w:rPr>
          <w:rFonts w:ascii="Times New Roman" w:hAnsi="Times New Roman" w:cs="Times New Roman"/>
          <w:b/>
          <w:bCs/>
          <w:color w:val="auto"/>
          <w:lang w:val="pt-PT"/>
        </w:rPr>
        <w:t>4</w:t>
      </w:r>
      <w:r w:rsidR="00050A17" w:rsidRPr="000162F2">
        <w:rPr>
          <w:rFonts w:ascii="Times New Roman" w:hAnsi="Times New Roman" w:cs="Times New Roman"/>
          <w:b/>
          <w:bCs/>
          <w:color w:val="auto"/>
          <w:lang w:val="pt-PT"/>
        </w:rPr>
        <w:t xml:space="preserve"> Análise </w:t>
      </w:r>
      <w:r w:rsidRPr="000162F2">
        <w:rPr>
          <w:rFonts w:ascii="Times New Roman" w:hAnsi="Times New Roman" w:cs="Times New Roman"/>
          <w:b/>
          <w:bCs/>
          <w:color w:val="auto"/>
          <w:lang w:val="pt-PT"/>
        </w:rPr>
        <w:t>da sustentabilidade económica, sociocultural e ambiental do uso do gás (GNL) para fins domésticos</w:t>
      </w:r>
    </w:p>
    <w:p w14:paraId="4D0A2AE5" w14:textId="0F8A3BFC" w:rsidR="00050A17" w:rsidRPr="000162F2" w:rsidRDefault="000162F2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497E070" wp14:editId="35673030">
            <wp:simplePos x="0" y="0"/>
            <wp:positionH relativeFrom="margin">
              <wp:posOffset>3028950</wp:posOffset>
            </wp:positionH>
            <wp:positionV relativeFrom="margin">
              <wp:posOffset>6181725</wp:posOffset>
            </wp:positionV>
            <wp:extent cx="3067050" cy="1840230"/>
            <wp:effectExtent l="0" t="0" r="0" b="7620"/>
            <wp:wrapSquare wrapText="bothSides"/>
            <wp:docPr id="2" name="Imagem 2" descr="Gás de cozinha continua inacessível para muitas famílias moçambicanas - O  País - A verdade como notí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ás de cozinha continua inacessível para muitas famílias moçambicanas - O  País - A verdade como notíc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17" w:rsidRPr="000162F2">
        <w:rPr>
          <w:rFonts w:ascii="Times New Roman" w:hAnsi="Times New Roman" w:cs="Times New Roman"/>
          <w:sz w:val="24"/>
          <w:szCs w:val="24"/>
          <w:lang w:val="pt-PT"/>
        </w:rPr>
        <w:t>A análise da sustentabilidade econômica do uso de GNL em Xai-Xai revela que, embora o GNL seja uma alternativa mais eficiente e menos poluente, o seu custo inicial pode ser proibitivo para muitas famílias de baixa renda. O preço dos cilindros de GNL e a necessidade de equipamentos adequados (fogões a gás) são barreiras significativas para a adoção dessa fonte de energia, especialmente em áreas rurais (Ribeiro, 2020). Isso implica que, apesar do GNL ser mais econômico a longo prazo em termos de eficiência energética, o custo inicial pode ser um obstáculo para sua adoção em larga escala.</w:t>
      </w:r>
    </w:p>
    <w:p w14:paraId="1A1C70C8" w14:textId="74AB2986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 xml:space="preserve">Em termos socioculturais, o uso do GNL em Xai-Xai tem potencial para transformar hábitos domésticos, promovendo uma mudança nas práticas culturais de cozinhar. O uso de carvão e madeira está profundamente enraizado nas tradições, especialmente nas áreas rurais, onde o fogo de madeira tem sido o principal método de preparo de alimentos durante gerações (Silva et al., 2020). Essa mudança </w:t>
      </w:r>
      <w:r w:rsidRPr="000162F2">
        <w:rPr>
          <w:rFonts w:ascii="Times New Roman" w:hAnsi="Times New Roman" w:cs="Times New Roman"/>
          <w:sz w:val="24"/>
          <w:szCs w:val="24"/>
          <w:lang w:val="pt-PT"/>
        </w:rPr>
        <w:lastRenderedPageBreak/>
        <w:t>para o uso de GNL pode ser vista como uma forma de modernização, mas também pode enfrentar resistência cultural, especialmente entre as populações mais velhas, que têm uma forte ligação com o uso de recursos naturais.</w:t>
      </w:r>
      <w:r w:rsidR="00BA4F92" w:rsidRPr="000162F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501F571C" w14:textId="468A8CD2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Ambientalmente, como mencionado anteriormente, o uso de GNL reduz a emissão de gases poluentes, contribuindo para a mitigação do aquecimento global e melhorando a qualidade do ar nas áreas domésticas. Isso é particularmente importante em Xai-Xai, onde a poluição do ar devido ao uso de carvão e madeira é uma preocupação crescente (José &amp; Monteiro, 2019). Contudo, a produção e transporte de GNL têm seus próprios impactos ambientais, como as emissões associadas à sua extração e transporte, o que precisa ser considerado ao avaliar a sustentabilidade total desta fonte de energia.</w:t>
      </w:r>
    </w:p>
    <w:p w14:paraId="5D5DBEB0" w14:textId="4CCAEA57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A sustentabilidade social do uso do GNL também está ligada à criação de empregos e ao desenvolvimento de uma economia local mais diversificada. A instalação de infraestrutura para distribuição de GNL pode criar novas oportunidades de emprego nas comunidades, tanto na fase de construção quanto na fase de operação e manutenção (Mudele, 2021). Esse impacto social positivo poderia aumentar a adesão ao GNL, principalmente em áreas urbanas, onde a criação de emprego é uma prioridade para o governo local.</w:t>
      </w:r>
    </w:p>
    <w:p w14:paraId="706946E4" w14:textId="5A269326" w:rsidR="00050A17" w:rsidRPr="000162F2" w:rsidRDefault="00050A17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>Em conclusão, a sustentabilidade do uso do GNL na comunidade de Xai-Xai é multifacetada. A transição para o GNL apresenta benefícios ambientais claros, mas é necessária uma estratégia abrangente que considere os custos econômicos, as questões socioculturais e as implicações ambientais para garantir a adoção em larga escala.</w:t>
      </w:r>
    </w:p>
    <w:p w14:paraId="37B23375" w14:textId="79EFBB83" w:rsidR="00BA4F92" w:rsidRPr="000162F2" w:rsidRDefault="000162F2" w:rsidP="000162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 </w:t>
      </w:r>
      <w:r w:rsidR="00BA4F92" w:rsidRPr="000162F2">
        <w:rPr>
          <w:rFonts w:ascii="Times New Roman" w:hAnsi="Times New Roman" w:cs="Times New Roman"/>
          <w:b/>
          <w:bCs/>
          <w:sz w:val="24"/>
          <w:szCs w:val="24"/>
          <w:lang w:val="pt-PT"/>
        </w:rPr>
        <w:t>Conclusão</w:t>
      </w:r>
    </w:p>
    <w:p w14:paraId="1801BFA4" w14:textId="3AC476D6" w:rsidR="00BA4F92" w:rsidRPr="000162F2" w:rsidRDefault="00BA4F92" w:rsidP="000162F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162F2">
        <w:rPr>
          <w:rFonts w:ascii="Times New Roman" w:hAnsi="Times New Roman" w:cs="Times New Roman"/>
          <w:sz w:val="24"/>
          <w:szCs w:val="24"/>
          <w:lang w:val="pt-PT"/>
        </w:rPr>
        <w:t xml:space="preserve">A partir das observações feitas na comunidade de Xai-Xai e das entrevistas realizadas com moradores e agentes locais, foi possível perceber que o uso do GNL apresenta vantagens claras em termos de sustentabilidade ambiental, especialmente quando comparado ao carvão e à lenha, ainda amplamente utilizados. Os dados recolhidos diretamente no local confirmaram que, apesar dos benefícios reconhecidos, a adoção do GNL enfrenta barreiras significativas, como o custo inicial dos equipamentos e a dificuldade de acesso contínuo ao produto. Também se constatou que há um potencial transformador no uso do gás, tanto na melhoria das condições de </w:t>
      </w:r>
      <w:r w:rsidRPr="000162F2">
        <w:rPr>
          <w:rFonts w:ascii="Times New Roman" w:hAnsi="Times New Roman" w:cs="Times New Roman"/>
          <w:sz w:val="24"/>
          <w:szCs w:val="24"/>
          <w:lang w:val="pt-PT"/>
        </w:rPr>
        <w:lastRenderedPageBreak/>
        <w:t>saúde quanto na valorização do tempo das famílias, que deixam de depender de fontes de energia mais poluentes e ineficientes. A análise temática feita a partir das falas dos entrevistados evidenciou que muitos reconhecem as vantagens do GNL, mas ainda necessitam de maior apoio institucional para aderirem plenamente a essa fonte energética. O estudo indicou que uma política pública integrada, com subsídios, campanhas de sensibilização e expansão da infraestrutura, seria fundamental para tornar o GNL uma solução mais acessível, segura e sustentável para a população local.</w:t>
      </w:r>
    </w:p>
    <w:p w14:paraId="4E4F0B08" w14:textId="0D348D7F" w:rsidR="00B604F3" w:rsidRPr="00050A17" w:rsidRDefault="000162F2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>6</w:t>
      </w:r>
      <w:r w:rsidR="00E40DB1" w:rsidRPr="00050A17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B604F3" w:rsidRPr="00050A17">
        <w:rPr>
          <w:rFonts w:ascii="Times New Roman" w:hAnsi="Times New Roman" w:cs="Times New Roman"/>
          <w:color w:val="auto"/>
          <w:sz w:val="24"/>
          <w:szCs w:val="24"/>
          <w:lang w:val="pt-PT"/>
        </w:rPr>
        <w:t>Referências</w:t>
      </w:r>
      <w:r w:rsidR="00F431F3" w:rsidRPr="00050A17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bibliográficas </w:t>
      </w:r>
    </w:p>
    <w:p w14:paraId="194F33D8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José, R., &amp; Monteiro, A. (2019).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análise das alternativas energéticas no contexto rural de Moçambique: Implicações sociais e ambientais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. Editora Universidade de Maputo.</w:t>
      </w:r>
    </w:p>
    <w:p w14:paraId="0E849833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Chissano, A., &amp; Faria, S. (2021).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Desafios e oportunidades do uso do gás natural liquefeito em Moçambique: O caso da província de Gaza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. Instituto Nacional de Energia, Moçambique.</w:t>
      </w:r>
    </w:p>
    <w:p w14:paraId="0FCF8EE2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Matos, J. (2018).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Sustentabilidade energética em Moçambique: Análise das fontes alternativas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. Revista Moçambicana de Energia, 15(2), 34-45.</w:t>
      </w:r>
    </w:p>
    <w:p w14:paraId="28A929FA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Mudele, M. (2021).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transição para o GNL: Impactos na sociedade e economia em Moçambique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. Universidade Eduardo Mondlane.</w:t>
      </w:r>
    </w:p>
    <w:p w14:paraId="7CBC264C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Pereira, F., &amp; Sitoe, N. (2020).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busca por fontes de energia alternativas em Moçambique: O papel do GNL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. Editora Pemba.</w:t>
      </w:r>
    </w:p>
    <w:p w14:paraId="59162094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Ribeiro, L. (2020).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sustentabilidade do GNL como alternativa energética em Moçambique: Estudo de caso nas zonas urbanas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>. Revista de Economia e Sustentabilidade, 8(3), 54-65.</w:t>
      </w:r>
    </w:p>
    <w:p w14:paraId="40ECA80E" w14:textId="77777777" w:rsidR="00050A17" w:rsidRPr="00050A17" w:rsidRDefault="00050A17" w:rsidP="00050A1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Silva, J., Faria, R., &amp; Lima, T. (2020). </w:t>
      </w:r>
      <w:r w:rsidRPr="00050A1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Impactos ambientais do uso do carvão e madeira em Moçambique: Uma abordagem crítica</w:t>
      </w:r>
      <w:r w:rsidRPr="00050A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050A17">
        <w:rPr>
          <w:rFonts w:ascii="Times New Roman" w:eastAsia="Times New Roman" w:hAnsi="Times New Roman" w:cs="Times New Roman"/>
          <w:sz w:val="24"/>
          <w:szCs w:val="24"/>
        </w:rPr>
        <w:t>Editora Maputo.</w:t>
      </w:r>
    </w:p>
    <w:p w14:paraId="2EE92D76" w14:textId="7B3F975B" w:rsidR="00D131FB" w:rsidRPr="00B604F3" w:rsidRDefault="00D131FB" w:rsidP="00050A17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B604F3" w:rsidSect="008C64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010C" w14:textId="77777777" w:rsidR="00DC4C6D" w:rsidRDefault="00DC4C6D" w:rsidP="008C64D4">
      <w:pPr>
        <w:spacing w:after="0" w:line="240" w:lineRule="auto"/>
      </w:pPr>
      <w:r>
        <w:separator/>
      </w:r>
    </w:p>
  </w:endnote>
  <w:endnote w:type="continuationSeparator" w:id="0">
    <w:p w14:paraId="4FB2D8C8" w14:textId="77777777" w:rsidR="00DC4C6D" w:rsidRDefault="00DC4C6D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0E2A" w14:textId="77777777" w:rsidR="00DC4C6D" w:rsidRDefault="00DC4C6D" w:rsidP="008C64D4">
      <w:pPr>
        <w:spacing w:after="0" w:line="240" w:lineRule="auto"/>
      </w:pPr>
      <w:r>
        <w:separator/>
      </w:r>
    </w:p>
  </w:footnote>
  <w:footnote w:type="continuationSeparator" w:id="0">
    <w:p w14:paraId="6D4304DE" w14:textId="77777777" w:rsidR="00DC4C6D" w:rsidRDefault="00DC4C6D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2CC"/>
    <w:multiLevelType w:val="multilevel"/>
    <w:tmpl w:val="0F101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36689"/>
    <w:multiLevelType w:val="multilevel"/>
    <w:tmpl w:val="BDC6E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85F49C5"/>
    <w:multiLevelType w:val="multilevel"/>
    <w:tmpl w:val="B6C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61F4B"/>
    <w:multiLevelType w:val="multilevel"/>
    <w:tmpl w:val="7DA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86678"/>
    <w:multiLevelType w:val="multilevel"/>
    <w:tmpl w:val="881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178A1"/>
    <w:multiLevelType w:val="multilevel"/>
    <w:tmpl w:val="FEDE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1B686C"/>
    <w:multiLevelType w:val="multilevel"/>
    <w:tmpl w:val="892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E7A16"/>
    <w:multiLevelType w:val="hybridMultilevel"/>
    <w:tmpl w:val="C59A35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B3A7842"/>
    <w:multiLevelType w:val="multilevel"/>
    <w:tmpl w:val="95C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510C"/>
    <w:multiLevelType w:val="hybridMultilevel"/>
    <w:tmpl w:val="FC78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4595F"/>
    <w:multiLevelType w:val="multilevel"/>
    <w:tmpl w:val="C904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35E6E"/>
    <w:multiLevelType w:val="hybridMultilevel"/>
    <w:tmpl w:val="E6D04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42"/>
    <w:multiLevelType w:val="multilevel"/>
    <w:tmpl w:val="12A81D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16F0E10"/>
    <w:multiLevelType w:val="multilevel"/>
    <w:tmpl w:val="52F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84AAF"/>
    <w:multiLevelType w:val="hybridMultilevel"/>
    <w:tmpl w:val="D2C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94532"/>
    <w:multiLevelType w:val="multilevel"/>
    <w:tmpl w:val="AB5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3941"/>
    <w:multiLevelType w:val="hybridMultilevel"/>
    <w:tmpl w:val="3B1C34F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73627F"/>
    <w:multiLevelType w:val="hybridMultilevel"/>
    <w:tmpl w:val="E6FE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2374"/>
    <w:multiLevelType w:val="hybridMultilevel"/>
    <w:tmpl w:val="6296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B417DA"/>
    <w:multiLevelType w:val="multilevel"/>
    <w:tmpl w:val="9822C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D3309DB"/>
    <w:multiLevelType w:val="hybridMultilevel"/>
    <w:tmpl w:val="91C6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4564"/>
    <w:multiLevelType w:val="multilevel"/>
    <w:tmpl w:val="8E0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36"/>
  </w:num>
  <w:num w:numId="5">
    <w:abstractNumId w:val="35"/>
  </w:num>
  <w:num w:numId="6">
    <w:abstractNumId w:val="2"/>
  </w:num>
  <w:num w:numId="7">
    <w:abstractNumId w:val="34"/>
  </w:num>
  <w:num w:numId="8">
    <w:abstractNumId w:val="29"/>
  </w:num>
  <w:num w:numId="9">
    <w:abstractNumId w:val="20"/>
  </w:num>
  <w:num w:numId="10">
    <w:abstractNumId w:val="8"/>
  </w:num>
  <w:num w:numId="11">
    <w:abstractNumId w:val="27"/>
  </w:num>
  <w:num w:numId="12">
    <w:abstractNumId w:val="3"/>
  </w:num>
  <w:num w:numId="13">
    <w:abstractNumId w:val="0"/>
  </w:num>
  <w:num w:numId="14">
    <w:abstractNumId w:val="21"/>
  </w:num>
  <w:num w:numId="15">
    <w:abstractNumId w:val="14"/>
  </w:num>
  <w:num w:numId="16">
    <w:abstractNumId w:val="19"/>
  </w:num>
  <w:num w:numId="17">
    <w:abstractNumId w:val="16"/>
  </w:num>
  <w:num w:numId="18">
    <w:abstractNumId w:val="15"/>
  </w:num>
  <w:num w:numId="19">
    <w:abstractNumId w:val="10"/>
  </w:num>
  <w:num w:numId="20">
    <w:abstractNumId w:val="33"/>
  </w:num>
  <w:num w:numId="21">
    <w:abstractNumId w:val="9"/>
  </w:num>
  <w:num w:numId="22">
    <w:abstractNumId w:val="24"/>
  </w:num>
  <w:num w:numId="23">
    <w:abstractNumId w:val="31"/>
  </w:num>
  <w:num w:numId="24">
    <w:abstractNumId w:val="4"/>
  </w:num>
  <w:num w:numId="25">
    <w:abstractNumId w:val="17"/>
  </w:num>
  <w:num w:numId="26">
    <w:abstractNumId w:val="1"/>
  </w:num>
  <w:num w:numId="27">
    <w:abstractNumId w:val="7"/>
  </w:num>
  <w:num w:numId="28">
    <w:abstractNumId w:val="18"/>
  </w:num>
  <w:num w:numId="29">
    <w:abstractNumId w:val="6"/>
  </w:num>
  <w:num w:numId="30">
    <w:abstractNumId w:val="11"/>
  </w:num>
  <w:num w:numId="31">
    <w:abstractNumId w:val="32"/>
  </w:num>
  <w:num w:numId="32">
    <w:abstractNumId w:val="26"/>
  </w:num>
  <w:num w:numId="33">
    <w:abstractNumId w:val="23"/>
  </w:num>
  <w:num w:numId="34">
    <w:abstractNumId w:val="12"/>
  </w:num>
  <w:num w:numId="35">
    <w:abstractNumId w:val="5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162F2"/>
    <w:rsid w:val="00050A17"/>
    <w:rsid w:val="0005679B"/>
    <w:rsid w:val="000709BD"/>
    <w:rsid w:val="00081535"/>
    <w:rsid w:val="000F3C71"/>
    <w:rsid w:val="000F4C4B"/>
    <w:rsid w:val="00102DCF"/>
    <w:rsid w:val="001117B0"/>
    <w:rsid w:val="00162090"/>
    <w:rsid w:val="001A6C76"/>
    <w:rsid w:val="001C72E8"/>
    <w:rsid w:val="001C77E1"/>
    <w:rsid w:val="001E4CC3"/>
    <w:rsid w:val="001E5417"/>
    <w:rsid w:val="001F2D36"/>
    <w:rsid w:val="002053C7"/>
    <w:rsid w:val="00277921"/>
    <w:rsid w:val="002A6242"/>
    <w:rsid w:val="002B21E9"/>
    <w:rsid w:val="002B2DE2"/>
    <w:rsid w:val="002C36DC"/>
    <w:rsid w:val="00337135"/>
    <w:rsid w:val="00363E13"/>
    <w:rsid w:val="00371C25"/>
    <w:rsid w:val="00371D4A"/>
    <w:rsid w:val="00373ADF"/>
    <w:rsid w:val="003A0AF4"/>
    <w:rsid w:val="003B287F"/>
    <w:rsid w:val="003D14F6"/>
    <w:rsid w:val="003D6220"/>
    <w:rsid w:val="00412A47"/>
    <w:rsid w:val="00415B99"/>
    <w:rsid w:val="00422468"/>
    <w:rsid w:val="004427C1"/>
    <w:rsid w:val="00450645"/>
    <w:rsid w:val="004A780B"/>
    <w:rsid w:val="004C0113"/>
    <w:rsid w:val="004F0344"/>
    <w:rsid w:val="0050412D"/>
    <w:rsid w:val="00537D13"/>
    <w:rsid w:val="0055049D"/>
    <w:rsid w:val="00556EE9"/>
    <w:rsid w:val="005628F6"/>
    <w:rsid w:val="00574696"/>
    <w:rsid w:val="00591E9C"/>
    <w:rsid w:val="005950E6"/>
    <w:rsid w:val="005A4AD6"/>
    <w:rsid w:val="005D358A"/>
    <w:rsid w:val="005E53D1"/>
    <w:rsid w:val="00604C2D"/>
    <w:rsid w:val="006238BC"/>
    <w:rsid w:val="00637B39"/>
    <w:rsid w:val="0066539D"/>
    <w:rsid w:val="00697C6A"/>
    <w:rsid w:val="006A2D30"/>
    <w:rsid w:val="006C7B80"/>
    <w:rsid w:val="006D003C"/>
    <w:rsid w:val="006D7E55"/>
    <w:rsid w:val="006F3291"/>
    <w:rsid w:val="006F756C"/>
    <w:rsid w:val="00707339"/>
    <w:rsid w:val="00714B2C"/>
    <w:rsid w:val="00782916"/>
    <w:rsid w:val="007E1DFD"/>
    <w:rsid w:val="007F50C9"/>
    <w:rsid w:val="00830F25"/>
    <w:rsid w:val="00840B82"/>
    <w:rsid w:val="00845379"/>
    <w:rsid w:val="00851C70"/>
    <w:rsid w:val="008939C8"/>
    <w:rsid w:val="008A7813"/>
    <w:rsid w:val="008C64D4"/>
    <w:rsid w:val="008E7B41"/>
    <w:rsid w:val="008F3AC8"/>
    <w:rsid w:val="00900A02"/>
    <w:rsid w:val="00913157"/>
    <w:rsid w:val="009319F2"/>
    <w:rsid w:val="00932E63"/>
    <w:rsid w:val="009379ED"/>
    <w:rsid w:val="009447BE"/>
    <w:rsid w:val="00960202"/>
    <w:rsid w:val="00963574"/>
    <w:rsid w:val="00991AF4"/>
    <w:rsid w:val="009A4A90"/>
    <w:rsid w:val="009D46BE"/>
    <w:rsid w:val="009E7D0B"/>
    <w:rsid w:val="009F389E"/>
    <w:rsid w:val="009F5EBC"/>
    <w:rsid w:val="00A0142A"/>
    <w:rsid w:val="00A053B6"/>
    <w:rsid w:val="00A55F5B"/>
    <w:rsid w:val="00A72690"/>
    <w:rsid w:val="00A91176"/>
    <w:rsid w:val="00AA5D47"/>
    <w:rsid w:val="00AA7631"/>
    <w:rsid w:val="00AB2E06"/>
    <w:rsid w:val="00AC0391"/>
    <w:rsid w:val="00AD21C6"/>
    <w:rsid w:val="00AE3E5E"/>
    <w:rsid w:val="00B02ABA"/>
    <w:rsid w:val="00B05D46"/>
    <w:rsid w:val="00B20196"/>
    <w:rsid w:val="00B32E48"/>
    <w:rsid w:val="00B604F3"/>
    <w:rsid w:val="00B60D08"/>
    <w:rsid w:val="00B752FC"/>
    <w:rsid w:val="00B75D15"/>
    <w:rsid w:val="00BA4F92"/>
    <w:rsid w:val="00BA5F35"/>
    <w:rsid w:val="00BB5242"/>
    <w:rsid w:val="00BF0B02"/>
    <w:rsid w:val="00C17790"/>
    <w:rsid w:val="00C2201A"/>
    <w:rsid w:val="00C51CFC"/>
    <w:rsid w:val="00C8584C"/>
    <w:rsid w:val="00C8585B"/>
    <w:rsid w:val="00D131FB"/>
    <w:rsid w:val="00D40A54"/>
    <w:rsid w:val="00D451DE"/>
    <w:rsid w:val="00D50D67"/>
    <w:rsid w:val="00D80E73"/>
    <w:rsid w:val="00D82B64"/>
    <w:rsid w:val="00DA2A63"/>
    <w:rsid w:val="00DB5564"/>
    <w:rsid w:val="00DB6F21"/>
    <w:rsid w:val="00DC43AA"/>
    <w:rsid w:val="00DC4C6D"/>
    <w:rsid w:val="00DC6D9F"/>
    <w:rsid w:val="00DE0FE9"/>
    <w:rsid w:val="00DE2DF1"/>
    <w:rsid w:val="00E06741"/>
    <w:rsid w:val="00E36FF6"/>
    <w:rsid w:val="00E40DB1"/>
    <w:rsid w:val="00E4127D"/>
    <w:rsid w:val="00E705D5"/>
    <w:rsid w:val="00E959F8"/>
    <w:rsid w:val="00EA50D8"/>
    <w:rsid w:val="00EC21CF"/>
    <w:rsid w:val="00EC5E2D"/>
    <w:rsid w:val="00EF0EB2"/>
    <w:rsid w:val="00F431F3"/>
    <w:rsid w:val="00F56E1F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74</cp:revision>
  <cp:lastPrinted>2025-05-11T17:01:00Z</cp:lastPrinted>
  <dcterms:created xsi:type="dcterms:W3CDTF">2024-04-22T09:13:00Z</dcterms:created>
  <dcterms:modified xsi:type="dcterms:W3CDTF">2025-05-11T17:02:00Z</dcterms:modified>
</cp:coreProperties>
</file>