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D07D4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167D78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Carimba-se a folha de rosto com a </w:t>
      </w:r>
      <w:proofErr w:type="spellStart"/>
      <w:r>
        <w:rPr>
          <w:lang w:val="pt-PT"/>
        </w:rPr>
        <w:t>mono_id</w:t>
      </w:r>
      <w:proofErr w:type="spellEnd"/>
      <w:r>
        <w:rPr>
          <w:lang w:val="pt-PT"/>
        </w:rPr>
        <w:t>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617167AF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 xml:space="preserve">Feita consoante as regras </w:t>
      </w:r>
      <w:r w:rsidR="00167D78">
        <w:rPr>
          <w:lang w:val="pt-PT"/>
        </w:rPr>
        <w:t>portuguesas</w:t>
      </w:r>
      <w:r>
        <w:rPr>
          <w:lang w:val="pt-PT"/>
        </w:rPr>
        <w:t xml:space="preserve">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39B35C5C" w:rsidR="00AB7646" w:rsidRPr="00C83E8F" w:rsidRDefault="00EF024F" w:rsidP="00EF024F">
      <w:pPr>
        <w:ind w:left="360"/>
        <w:rPr>
          <w:b/>
          <w:bCs/>
          <w:u w:val="single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  <w:r w:rsidR="00C83E8F">
        <w:rPr>
          <w:lang w:val="pt-PT"/>
        </w:rPr>
        <w:t xml:space="preserve"> </w:t>
      </w:r>
      <w:r w:rsidR="00C83E8F">
        <w:rPr>
          <w:b/>
          <w:bCs/>
          <w:u w:val="single"/>
          <w:lang w:val="pt-PT"/>
        </w:rPr>
        <w:t>Está no documento “.</w:t>
      </w:r>
      <w:proofErr w:type="spellStart"/>
      <w:r w:rsidR="00C83E8F">
        <w:rPr>
          <w:b/>
          <w:bCs/>
          <w:u w:val="single"/>
          <w:lang w:val="pt-PT"/>
        </w:rPr>
        <w:t>pdf</w:t>
      </w:r>
      <w:proofErr w:type="spellEnd"/>
      <w:r w:rsidR="00C83E8F">
        <w:rPr>
          <w:b/>
          <w:bCs/>
          <w:u w:val="single"/>
          <w:lang w:val="pt-PT"/>
        </w:rPr>
        <w:t>”.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15ED2543" w:rsidR="00F14964" w:rsidRPr="00C83E8F" w:rsidRDefault="004109DC" w:rsidP="00F14964">
      <w:pPr>
        <w:ind w:left="360"/>
        <w:rPr>
          <w:b/>
          <w:bCs/>
          <w:u w:val="single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  <w:r w:rsidR="00C83E8F">
        <w:rPr>
          <w:lang w:val="pt-PT"/>
        </w:rPr>
        <w:t xml:space="preserve"> </w:t>
      </w:r>
      <w:r w:rsidR="00C83E8F">
        <w:rPr>
          <w:b/>
          <w:bCs/>
          <w:u w:val="single"/>
          <w:lang w:val="pt-PT"/>
        </w:rPr>
        <w:t>Não possuem.</w:t>
      </w:r>
    </w:p>
    <w:p w14:paraId="1CE0AA39" w14:textId="39E2EF62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102B61F7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 xml:space="preserve">Aqui não deveria ser um evento intermediário, invés de um 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event</w:t>
      </w:r>
      <w:proofErr w:type="spellEnd"/>
      <w:r>
        <w:rPr>
          <w:lang w:val="pt-PT"/>
        </w:rPr>
        <w:t>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YES (ALTERAR)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62DBE162" w14:textId="19F38ADD" w:rsidR="00942FBF" w:rsidRDefault="00FC45E3" w:rsidP="00FC45E3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42E8349D">
            <wp:simplePos x="0" y="0"/>
            <wp:positionH relativeFrom="column">
              <wp:posOffset>-208915</wp:posOffset>
            </wp:positionH>
            <wp:positionV relativeFrom="paragraph">
              <wp:posOffset>268605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3E9375E7" w14:textId="79785F79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Usa-se o método de </w:t>
      </w:r>
      <w:proofErr w:type="spellStart"/>
      <w:r>
        <w:rPr>
          <w:lang w:val="pt-PT"/>
        </w:rPr>
        <w:t>Kaizen</w:t>
      </w:r>
      <w:proofErr w:type="spellEnd"/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094E6995" w:rsidR="00CD351F" w:rsidRPr="00DB472E" w:rsidRDefault="00CD351F" w:rsidP="00CD351F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NOT NECESSARY, APARENTA ESTAR BEM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1CEC2F24" w:rsidR="00525343" w:rsidRPr="00DD5B5D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Conservação</w:t>
      </w:r>
    </w:p>
    <w:p w14:paraId="2BD92EDA" w14:textId="3B43A2C4" w:rsidR="00DD5B5D" w:rsidRDefault="00DD5B5D" w:rsidP="00DD5B5D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2CC818F7" w14:textId="224905F5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É feita periodicamente.</w:t>
      </w:r>
    </w:p>
    <w:p w14:paraId="4F6C3E42" w14:textId="3B6C2743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uma escova na lombada dos livros.</w:t>
      </w:r>
    </w:p>
    <w:p w14:paraId="3F2B0BF5" w14:textId="4BCEC060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 pano húmido nas prateleiras das estantes.</w:t>
      </w:r>
    </w:p>
    <w:p w14:paraId="4444E09C" w14:textId="42A01430" w:rsidR="00FC45E3" w:rsidRPr="00FC45E3" w:rsidRDefault="00DD5B5D" w:rsidP="00FC45E3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Quando as monografias estão danificadas, se o preço da aquisição de uma nova</w:t>
      </w:r>
      <w:r w:rsidR="00FC45E3">
        <w:rPr>
          <w:lang w:val="pt-PT"/>
        </w:rPr>
        <w:t xml:space="preserve"> for mais cara ou não se encontrar no mercado, então restaura-se a monografia, caso contrário, compra-se uma nova.</w:t>
      </w:r>
    </w:p>
    <w:p w14:paraId="64B5F89D" w14:textId="20B31422" w:rsidR="00DD5B5D" w:rsidRDefault="00DD5B5D" w:rsidP="00DD5B5D">
      <w:pPr>
        <w:rPr>
          <w:lang w:val="pt-PT"/>
        </w:rPr>
      </w:pPr>
    </w:p>
    <w:p w14:paraId="7FE14C11" w14:textId="672594E2" w:rsidR="00617D81" w:rsidRDefault="00617D81" w:rsidP="00617D81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25CF3835" wp14:editId="26400AF0">
            <wp:simplePos x="0" y="0"/>
            <wp:positionH relativeFrom="column">
              <wp:posOffset>-299085</wp:posOffset>
            </wp:positionH>
            <wp:positionV relativeFrom="paragraph">
              <wp:posOffset>295275</wp:posOffset>
            </wp:positionV>
            <wp:extent cx="6186805" cy="1229360"/>
            <wp:effectExtent l="0" t="0" r="4445" b="889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5D">
        <w:rPr>
          <w:b/>
          <w:bCs/>
          <w:lang w:val="pt-PT"/>
        </w:rPr>
        <w:t>BPMN:</w:t>
      </w:r>
    </w:p>
    <w:p w14:paraId="27CD96EB" w14:textId="66AFBF1B" w:rsidR="00617D81" w:rsidRPr="00DB472E" w:rsidRDefault="00617D81" w:rsidP="00617D81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 xml:space="preserve">Não fará sentido o evento inicial ser um timer ou um </w:t>
      </w:r>
      <w:proofErr w:type="spellStart"/>
      <w:r>
        <w:rPr>
          <w:lang w:val="pt-PT"/>
        </w:rPr>
        <w:t>conditional</w:t>
      </w:r>
      <w:proofErr w:type="spellEnd"/>
      <w:r>
        <w:rPr>
          <w:lang w:val="pt-PT"/>
        </w:rPr>
        <w:t>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Faz, basicamente usa-se um timer com “</w:t>
      </w:r>
      <w:r w:rsidR="0023732A">
        <w:rPr>
          <w:b/>
          <w:bCs/>
          <w:u w:val="single"/>
          <w:lang w:val="pt-PT"/>
        </w:rPr>
        <w:t>Periodicamente para cada livro</w:t>
      </w:r>
      <w:r w:rsidR="00DB472E">
        <w:rPr>
          <w:b/>
          <w:bCs/>
          <w:u w:val="single"/>
          <w:lang w:val="pt-PT"/>
        </w:rPr>
        <w:t>”</w:t>
      </w:r>
    </w:p>
    <w:p w14:paraId="77ACC5E4" w14:textId="77777777" w:rsidR="00DD5B5D" w:rsidRDefault="00DD5B5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82B51A8" w14:textId="5BE0C85D" w:rsidR="00DD5B5D" w:rsidRPr="00D07D40" w:rsidRDefault="00D07D4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Requisição</w:t>
      </w:r>
    </w:p>
    <w:p w14:paraId="597389FA" w14:textId="25DE1A99" w:rsidR="00D07D40" w:rsidRDefault="00D07D40" w:rsidP="00D07D40">
      <w:pPr>
        <w:spacing w:after="0"/>
        <w:ind w:left="360"/>
        <w:rPr>
          <w:lang w:val="pt-PT"/>
        </w:rPr>
      </w:pPr>
      <w:r>
        <w:rPr>
          <w:b/>
          <w:bCs/>
          <w:lang w:val="pt-PT"/>
        </w:rPr>
        <w:t>Notas</w:t>
      </w:r>
      <w:r w:rsidR="000D76B3">
        <w:rPr>
          <w:b/>
          <w:bCs/>
          <w:lang w:val="pt-PT"/>
        </w:rPr>
        <w:t xml:space="preserve"> (Possibilidade de Requisição)</w:t>
      </w:r>
      <w:r>
        <w:rPr>
          <w:b/>
          <w:bCs/>
          <w:lang w:val="pt-PT"/>
        </w:rPr>
        <w:t>:</w:t>
      </w:r>
    </w:p>
    <w:p w14:paraId="4E3F9908" w14:textId="096A2A6A" w:rsidR="00D07D40" w:rsidRDefault="00D07D40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estudantes do IPP podem fazer requisições</w:t>
      </w:r>
      <w:r w:rsidR="008B253A">
        <w:rPr>
          <w:lang w:val="pt-PT"/>
        </w:rPr>
        <w:t xml:space="preserve"> usando o cartão de estudante</w:t>
      </w:r>
      <w:r>
        <w:rPr>
          <w:lang w:val="pt-PT"/>
        </w:rPr>
        <w:t>.</w:t>
      </w:r>
    </w:p>
    <w:p w14:paraId="6EE238A4" w14:textId="7DCD1C7D" w:rsid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Se for a primeira requisição, </w:t>
      </w:r>
      <w:r w:rsidR="008B253A">
        <w:rPr>
          <w:lang w:val="pt-PT"/>
        </w:rPr>
        <w:t xml:space="preserve">a falta do cartão, obriga </w:t>
      </w:r>
      <w:r>
        <w:rPr>
          <w:lang w:val="pt-PT"/>
        </w:rPr>
        <w:t>o estudante deverá apresentar o comprovativo de matrícula e o documento oficial de identificação.</w:t>
      </w:r>
    </w:p>
    <w:p w14:paraId="6B56D142" w14:textId="50E5942A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Se o estudante não possuir o comprovativo de matrícula, então, deve-se verificar a sua inscrição no site de inscrições e exigir a apresentação do documento oficial de identificação.</w:t>
      </w:r>
    </w:p>
    <w:p w14:paraId="1271EC06" w14:textId="4588DAD5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docentes e não docentes também deverão apresentar o cartão vinculativo da unidade orgânica a que pertencem.</w:t>
      </w:r>
    </w:p>
    <w:p w14:paraId="55837BD6" w14:textId="68433947" w:rsidR="000D76B3" w:rsidRP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Quanto aos utilizadores externos, devem apresentar o documento oficial de identificação.</w:t>
      </w:r>
    </w:p>
    <w:p w14:paraId="6613F66B" w14:textId="77777777" w:rsidR="00D07D40" w:rsidRPr="00D07D40" w:rsidRDefault="00D07D40" w:rsidP="00D07D40">
      <w:pPr>
        <w:rPr>
          <w:b/>
          <w:bCs/>
          <w:lang w:val="pt-PT"/>
        </w:rPr>
      </w:pPr>
    </w:p>
    <w:p w14:paraId="2B4E2E5A" w14:textId="77777777" w:rsidR="00D07D40" w:rsidRDefault="00D07D4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FA97C7" w14:textId="680A6CBB" w:rsidR="00D07D40" w:rsidRPr="00491C2A" w:rsidRDefault="00491C2A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Devolução</w:t>
      </w:r>
    </w:p>
    <w:p w14:paraId="30A52FD2" w14:textId="176DF343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Presencial:</w:t>
      </w:r>
    </w:p>
    <w:p w14:paraId="701A00FE" w14:textId="0D2DED9B" w:rsidR="00491C2A" w:rsidRPr="00491C2A" w:rsidRDefault="00491C2A" w:rsidP="00491C2A">
      <w:pPr>
        <w:pStyle w:val="PargrafodaLista"/>
        <w:numPr>
          <w:ilvl w:val="0"/>
          <w:numId w:val="17"/>
        </w:numPr>
        <w:spacing w:after="0"/>
        <w:rPr>
          <w:b/>
          <w:bCs/>
          <w:lang w:val="pt-PT"/>
        </w:rPr>
      </w:pPr>
      <w:r>
        <w:rPr>
          <w:lang w:val="pt-PT"/>
        </w:rPr>
        <w:t>Podem ser efetuadas por todos os utilizadores.</w:t>
      </w:r>
    </w:p>
    <w:p w14:paraId="36010284" w14:textId="3BB5EB3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Acede-se à base de dados através do código da espécie.</w:t>
      </w:r>
    </w:p>
    <w:p w14:paraId="10895A7D" w14:textId="2F40AB9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Se a devolução for feita fora do prazo, sinaliza-se a situação e imprime-se o talão com a importância de pagar.</w:t>
      </w:r>
    </w:p>
    <w:p w14:paraId="5F0392B9" w14:textId="134C9785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No caso de multa, regista-se esta através do Portal na aplicação dos emolumentos.</w:t>
      </w:r>
    </w:p>
    <w:p w14:paraId="7C5D907F" w14:textId="57C7F6D4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Quando se devolvem monografias, o colaborador da Biblioteca verifica o seu estado de conservação.</w:t>
      </w:r>
    </w:p>
    <w:p w14:paraId="2D54F7C3" w14:textId="56D59F21" w:rsidR="00491C2A" w:rsidRDefault="00491C2A" w:rsidP="00491C2A">
      <w:pPr>
        <w:rPr>
          <w:b/>
          <w:bCs/>
          <w:lang w:val="pt-PT"/>
        </w:rPr>
      </w:pPr>
    </w:p>
    <w:p w14:paraId="5C4691AC" w14:textId="56DA53A5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no Posto de Auto Devolução:</w:t>
      </w:r>
    </w:p>
    <w:p w14:paraId="3DDCCD41" w14:textId="27E6B59E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Podem ser efetuadas pelos utilizadores institucionais.</w:t>
      </w:r>
    </w:p>
    <w:p w14:paraId="58D22F0F" w14:textId="366EF9D4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Coloca a espécie no tabuleiro.</w:t>
      </w:r>
    </w:p>
    <w:p w14:paraId="5A7315F4" w14:textId="68787C88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Seleciona a opção de “Devolução”.</w:t>
      </w:r>
    </w:p>
    <w:p w14:paraId="35B55594" w14:textId="691364B9" w:rsidR="001E3894" w:rsidRDefault="001E3894" w:rsidP="001E3894">
      <w:pPr>
        <w:ind w:left="360"/>
        <w:rPr>
          <w:b/>
          <w:bCs/>
          <w:lang w:val="pt-PT"/>
        </w:rPr>
      </w:pPr>
    </w:p>
    <w:p w14:paraId="4BB35A58" w14:textId="70C1AE72" w:rsidR="001E3894" w:rsidRDefault="001B16F0" w:rsidP="001E3894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0528" behindDoc="0" locked="0" layoutInCell="1" allowOverlap="1" wp14:anchorId="7CB8A958" wp14:editId="55C8BFE8">
            <wp:simplePos x="0" y="0"/>
            <wp:positionH relativeFrom="column">
              <wp:posOffset>-435187</wp:posOffset>
            </wp:positionH>
            <wp:positionV relativeFrom="paragraph">
              <wp:posOffset>264160</wp:posOffset>
            </wp:positionV>
            <wp:extent cx="6277610" cy="1828800"/>
            <wp:effectExtent l="0" t="0" r="8890" b="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894">
        <w:rPr>
          <w:b/>
          <w:bCs/>
          <w:lang w:val="pt-PT"/>
        </w:rPr>
        <w:t>BPMN:</w:t>
      </w:r>
    </w:p>
    <w:p w14:paraId="13CF604F" w14:textId="596E4F96" w:rsidR="0023732A" w:rsidRPr="0023732A" w:rsidRDefault="001B16F0" w:rsidP="001B16F0">
      <w:pPr>
        <w:ind w:left="360"/>
        <w:rPr>
          <w:u w:val="single"/>
          <w:lang w:val="pt-PT"/>
        </w:rPr>
      </w:pPr>
      <w:r>
        <w:rPr>
          <w:lang w:val="pt-PT"/>
        </w:rPr>
        <w:t>Como é que se representa a análise da monografia? Quando é que isso ocorre?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 xml:space="preserve">Alterar o “analisar código da espécie” para a “análise da monografia” e colocar o seu estado na </w:t>
      </w:r>
      <w:proofErr w:type="spellStart"/>
      <w:r w:rsidR="0023732A">
        <w:rPr>
          <w:b/>
          <w:bCs/>
          <w:u w:val="single"/>
          <w:lang w:val="pt-PT"/>
        </w:rPr>
        <w:t>BdD</w:t>
      </w:r>
      <w:proofErr w:type="spellEnd"/>
      <w:r w:rsidR="0023732A">
        <w:rPr>
          <w:b/>
          <w:bCs/>
          <w:u w:val="single"/>
          <w:lang w:val="pt-PT"/>
        </w:rPr>
        <w:t>.</w:t>
      </w:r>
      <w:r>
        <w:rPr>
          <w:lang w:val="pt-PT"/>
        </w:rPr>
        <w:br/>
        <w:t xml:space="preserve">Os </w:t>
      </w:r>
      <w:proofErr w:type="spellStart"/>
      <w:r>
        <w:rPr>
          <w:lang w:val="pt-PT"/>
        </w:rPr>
        <w:t>Start-Event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devem ser </w:t>
      </w:r>
      <w:proofErr w:type="spellStart"/>
      <w:r>
        <w:rPr>
          <w:lang w:val="pt-PT"/>
        </w:rPr>
        <w:t>End-Events</w:t>
      </w:r>
      <w:proofErr w:type="spellEnd"/>
      <w:r>
        <w:rPr>
          <w:lang w:val="pt-PT"/>
        </w:rPr>
        <w:t>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 xml:space="preserve">Sim, passam a </w:t>
      </w:r>
      <w:proofErr w:type="spellStart"/>
      <w:r w:rsidR="0023732A">
        <w:rPr>
          <w:b/>
          <w:bCs/>
          <w:u w:val="single"/>
          <w:lang w:val="pt-PT"/>
        </w:rPr>
        <w:t>End-Events</w:t>
      </w:r>
      <w:proofErr w:type="spellEnd"/>
      <w:r w:rsidR="0023732A">
        <w:rPr>
          <w:b/>
          <w:bCs/>
          <w:u w:val="single"/>
          <w:lang w:val="pt-PT"/>
        </w:rPr>
        <w:t>.</w:t>
      </w:r>
      <w:r>
        <w:rPr>
          <w:lang w:val="pt-PT"/>
        </w:rPr>
        <w:br/>
        <w:t>No “Aceder à Base de Dados”, deve-se representar a Base de Dados?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>Sim.</w:t>
      </w:r>
      <w:r w:rsidR="0023732A">
        <w:rPr>
          <w:b/>
          <w:bCs/>
          <w:u w:val="single"/>
          <w:lang w:val="pt-PT"/>
        </w:rPr>
        <w:br/>
        <w:t xml:space="preserve">Retiram-se os </w:t>
      </w:r>
      <w:proofErr w:type="spellStart"/>
      <w:r w:rsidR="0023732A">
        <w:rPr>
          <w:b/>
          <w:bCs/>
          <w:u w:val="single"/>
          <w:lang w:val="pt-PT"/>
        </w:rPr>
        <w:t>end-events</w:t>
      </w:r>
      <w:proofErr w:type="spellEnd"/>
      <w:r w:rsidR="0023732A">
        <w:rPr>
          <w:b/>
          <w:bCs/>
          <w:u w:val="single"/>
          <w:lang w:val="pt-PT"/>
        </w:rPr>
        <w:t xml:space="preserve"> iniciais e liga-se o “selecionar devolução” ao “recebe a espécie”.</w:t>
      </w:r>
    </w:p>
    <w:p w14:paraId="45774C41" w14:textId="516E40B9" w:rsidR="00491C2A" w:rsidRDefault="00491C2A" w:rsidP="001E3894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B4BA766" w14:textId="35E03CEF" w:rsidR="001E3894" w:rsidRPr="001E3894" w:rsidRDefault="001E3894" w:rsidP="001E3894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Controlo de Empréstimos</w:t>
      </w:r>
    </w:p>
    <w:p w14:paraId="176CE8A6" w14:textId="16C5E6BF" w:rsidR="001E3894" w:rsidRDefault="001E3894" w:rsidP="001E389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4825DC4E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Emite-se mensalmente uma lista das requisições efetuadas (a partir da Base de Dados).</w:t>
      </w:r>
    </w:p>
    <w:p w14:paraId="6F81786C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verificar-se uma situação do prazo ter sido ultrapassado, solicita-se ao utilizador por telefone ou ofício a devolução.</w:t>
      </w:r>
    </w:p>
    <w:p w14:paraId="54F5AA24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após esta notificação o utilizador não fizer a devolução, então, aplicam-se as medidas do Regulamento da Biblioteca.</w:t>
      </w:r>
    </w:p>
    <w:p w14:paraId="6F8CF7EC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um estudante possuir um atraso superior a 15 dias úteis, a Biblioteca procede à suspensão no portal de todos os atos administrativos.</w:t>
      </w:r>
    </w:p>
    <w:p w14:paraId="0E101891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Consoante a periodicidade acordada, a Biblioteca reúne os talões das coimas e o seu valor e envia-os para a Tesouraria.</w:t>
      </w:r>
    </w:p>
    <w:p w14:paraId="2175C9C1" w14:textId="4131E908" w:rsidR="001E3894" w:rsidRDefault="001E3894" w:rsidP="001E3894">
      <w:pPr>
        <w:rPr>
          <w:b/>
          <w:bCs/>
          <w:lang w:val="pt-PT"/>
        </w:rPr>
      </w:pPr>
    </w:p>
    <w:p w14:paraId="32C5A1DD" w14:textId="1EA0D36A" w:rsidR="001E3894" w:rsidRDefault="001E3894" w:rsidP="00F84A0D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BPMN:</w:t>
      </w:r>
    </w:p>
    <w:p w14:paraId="29EABB22" w14:textId="09681252" w:rsidR="00F84A0D" w:rsidRPr="00EA50D2" w:rsidRDefault="00DA43AA" w:rsidP="00F84A0D">
      <w:pPr>
        <w:ind w:left="360"/>
        <w:rPr>
          <w:b/>
          <w:bCs/>
          <w:u w:val="single"/>
          <w:lang w:val="pt-PT"/>
        </w:rPr>
      </w:pPr>
      <w:r>
        <w:rPr>
          <w:b/>
          <w:bCs/>
          <w:noProof/>
          <w:lang w:val="pt-PT"/>
        </w:rPr>
        <w:drawing>
          <wp:anchor distT="0" distB="0" distL="114300" distR="114300" simplePos="0" relativeHeight="251671552" behindDoc="0" locked="0" layoutInCell="1" allowOverlap="1" wp14:anchorId="2B8DB9A7" wp14:editId="1468D13C">
            <wp:simplePos x="0" y="0"/>
            <wp:positionH relativeFrom="margin">
              <wp:align>center</wp:align>
            </wp:positionH>
            <wp:positionV relativeFrom="paragraph">
              <wp:posOffset>720090</wp:posOffset>
            </wp:positionV>
            <wp:extent cx="7174865" cy="2476500"/>
            <wp:effectExtent l="0" t="0" r="6985" b="0"/>
            <wp:wrapTopAndBottom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8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A0D">
        <w:rPr>
          <w:lang w:val="pt-PT"/>
        </w:rPr>
        <w:t>Perguntar à professora como representar o “mensalmente”.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Sim.</w:t>
      </w:r>
      <w:r w:rsidR="00F84A0D">
        <w:rPr>
          <w:lang w:val="pt-PT"/>
        </w:rPr>
        <w:br/>
        <w:t>Perguntar à professora como representar a passagem dos 15 dias.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Faz-se um timer condicional ou algo do género.</w:t>
      </w:r>
    </w:p>
    <w:p w14:paraId="30C52D70" w14:textId="70731135" w:rsidR="001E3894" w:rsidRPr="001E3894" w:rsidRDefault="001E3894" w:rsidP="001E3894">
      <w:pPr>
        <w:rPr>
          <w:b/>
          <w:bCs/>
          <w:lang w:val="pt-PT"/>
        </w:rPr>
      </w:pPr>
    </w:p>
    <w:p w14:paraId="371A36C7" w14:textId="77777777" w:rsidR="001E3894" w:rsidRDefault="001E3894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1C9CFD" w14:textId="73F091DC" w:rsidR="001E3894" w:rsidRPr="00FC6ACE" w:rsidRDefault="00FC6ACE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Ofertas</w:t>
      </w:r>
    </w:p>
    <w:p w14:paraId="6F188D4B" w14:textId="744B9C78" w:rsidR="00FC6ACE" w:rsidRDefault="00FC6ACE" w:rsidP="00FC6ACE">
      <w:pPr>
        <w:ind w:firstLine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7FEAF017" w14:textId="0A20D77B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lang w:val="pt-PT"/>
        </w:rPr>
        <w:t xml:space="preserve">Efetuadas por Proponentes externos, apresentando impresso próprio </w:t>
      </w:r>
      <w:r w:rsidRPr="00FC6ACE">
        <w:rPr>
          <w:rFonts w:cstheme="minorHAnsi"/>
          <w:kern w:val="0"/>
          <w:lang w:val="pt-PT"/>
        </w:rPr>
        <w:t>(ISEP-DDC-BIB-MOD012)</w:t>
      </w:r>
      <w:r w:rsidRPr="00FC6ACE">
        <w:rPr>
          <w:rFonts w:cstheme="minorHAnsi"/>
          <w:kern w:val="0"/>
          <w:lang w:val="pt-PT"/>
        </w:rPr>
        <w:t>.</w:t>
      </w:r>
    </w:p>
    <w:p w14:paraId="28F7525E" w14:textId="280C9423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Remetidas por uma via presencial, correio (físico ou eletrónico) ou fax.</w:t>
      </w:r>
    </w:p>
    <w:p w14:paraId="059BD5D0" w14:textId="7976B244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A Bibliotecária analisa a proposta e presta informação técnica como fundamento de aceitação ou rejeição.</w:t>
      </w:r>
    </w:p>
    <w:p w14:paraId="59A1DAC1" w14:textId="33D26F34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A Bibliotecária remete a proposta ao Presidente.</w:t>
      </w:r>
    </w:p>
    <w:p w14:paraId="2B00FBDA" w14:textId="4F227BA6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O Presidente analisa e delibera a aceitação ou rejeição da oferta.</w:t>
      </w:r>
    </w:p>
    <w:p w14:paraId="78EE7AD3" w14:textId="1E624137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No caso de dúvidas, o Presidente pode pedir um parecer não vinculativo ao docente da área em questão.</w:t>
      </w:r>
    </w:p>
    <w:p w14:paraId="3A6CAB01" w14:textId="097B100F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Após a decisão, o Proponente é informado da mesma, por e-mail ou telefone.</w:t>
      </w:r>
    </w:p>
    <w:p w14:paraId="5123BB48" w14:textId="5F8D0A4B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No caso de aceitação, cabe ao Proponente transportar e entregar os bens.</w:t>
      </w:r>
    </w:p>
    <w:p w14:paraId="40D0D21D" w14:textId="743A3783" w:rsidR="00FC6ACE" w:rsidRPr="00424C67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 xml:space="preserve">Após a entrega dos bens, assina-se o termo de entrega (ISEP-DDC-BIB-MOD013) e </w:t>
      </w:r>
      <w:r w:rsidR="00424C67">
        <w:rPr>
          <w:rFonts w:cstheme="minorHAnsi"/>
          <w:kern w:val="0"/>
          <w:lang w:val="pt-PT"/>
        </w:rPr>
        <w:t>dá-se uma cópia ao proponente.</w:t>
      </w:r>
    </w:p>
    <w:p w14:paraId="78708124" w14:textId="5353DA37" w:rsidR="00424C67" w:rsidRPr="00FC6ACE" w:rsidRDefault="00424C67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Com a oferta, decide-se se esta fica no ISEP ou vai para outra instituição.</w:t>
      </w:r>
    </w:p>
    <w:p w14:paraId="20F2D8BA" w14:textId="77777777" w:rsidR="00FC6ACE" w:rsidRDefault="00FC6AC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99906E6" w14:textId="648D6F47" w:rsidR="00FC6ACE" w:rsidRPr="00586BD0" w:rsidRDefault="00FC6ACE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FC6ACE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598"/>
    <w:multiLevelType w:val="hybridMultilevel"/>
    <w:tmpl w:val="31F4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F1491"/>
    <w:multiLevelType w:val="hybridMultilevel"/>
    <w:tmpl w:val="7360B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26A9"/>
    <w:multiLevelType w:val="hybridMultilevel"/>
    <w:tmpl w:val="C14A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292D"/>
    <w:multiLevelType w:val="hybridMultilevel"/>
    <w:tmpl w:val="D602C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55FED"/>
    <w:multiLevelType w:val="hybridMultilevel"/>
    <w:tmpl w:val="A51C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24CFB"/>
    <w:multiLevelType w:val="hybridMultilevel"/>
    <w:tmpl w:val="DFD6B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53461"/>
    <w:multiLevelType w:val="hybridMultilevel"/>
    <w:tmpl w:val="DB8C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11"/>
  </w:num>
  <w:num w:numId="3" w16cid:durableId="792791661">
    <w:abstractNumId w:val="5"/>
  </w:num>
  <w:num w:numId="4" w16cid:durableId="1685672705">
    <w:abstractNumId w:val="3"/>
  </w:num>
  <w:num w:numId="5" w16cid:durableId="1412042820">
    <w:abstractNumId w:val="7"/>
  </w:num>
  <w:num w:numId="6" w16cid:durableId="1198813832">
    <w:abstractNumId w:val="10"/>
  </w:num>
  <w:num w:numId="7" w16cid:durableId="1176262054">
    <w:abstractNumId w:val="2"/>
  </w:num>
  <w:num w:numId="8" w16cid:durableId="1119759137">
    <w:abstractNumId w:val="15"/>
  </w:num>
  <w:num w:numId="9" w16cid:durableId="1952663012">
    <w:abstractNumId w:val="1"/>
  </w:num>
  <w:num w:numId="10" w16cid:durableId="167252140">
    <w:abstractNumId w:val="12"/>
  </w:num>
  <w:num w:numId="11" w16cid:durableId="1013917777">
    <w:abstractNumId w:val="18"/>
  </w:num>
  <w:num w:numId="12" w16cid:durableId="300037128">
    <w:abstractNumId w:val="13"/>
  </w:num>
  <w:num w:numId="13" w16cid:durableId="2124766626">
    <w:abstractNumId w:val="17"/>
  </w:num>
  <w:num w:numId="14" w16cid:durableId="952781184">
    <w:abstractNumId w:val="19"/>
  </w:num>
  <w:num w:numId="15" w16cid:durableId="1307976273">
    <w:abstractNumId w:val="14"/>
  </w:num>
  <w:num w:numId="16" w16cid:durableId="233391135">
    <w:abstractNumId w:val="4"/>
  </w:num>
  <w:num w:numId="17" w16cid:durableId="1286305780">
    <w:abstractNumId w:val="9"/>
  </w:num>
  <w:num w:numId="18" w16cid:durableId="1864633643">
    <w:abstractNumId w:val="16"/>
  </w:num>
  <w:num w:numId="19" w16cid:durableId="945620662">
    <w:abstractNumId w:val="8"/>
  </w:num>
  <w:num w:numId="20" w16cid:durableId="1009530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0D76B3"/>
    <w:rsid w:val="00117675"/>
    <w:rsid w:val="00167D78"/>
    <w:rsid w:val="00187A31"/>
    <w:rsid w:val="001B16F0"/>
    <w:rsid w:val="001E3894"/>
    <w:rsid w:val="001F0A7C"/>
    <w:rsid w:val="0023732A"/>
    <w:rsid w:val="00333D8B"/>
    <w:rsid w:val="003B4384"/>
    <w:rsid w:val="003D6CFE"/>
    <w:rsid w:val="004109DC"/>
    <w:rsid w:val="00416FB0"/>
    <w:rsid w:val="00424C67"/>
    <w:rsid w:val="00433B2B"/>
    <w:rsid w:val="00473774"/>
    <w:rsid w:val="00491C2A"/>
    <w:rsid w:val="00525343"/>
    <w:rsid w:val="00583B55"/>
    <w:rsid w:val="00586BD0"/>
    <w:rsid w:val="005C4E63"/>
    <w:rsid w:val="00617D81"/>
    <w:rsid w:val="006455FE"/>
    <w:rsid w:val="00694A9F"/>
    <w:rsid w:val="00700794"/>
    <w:rsid w:val="007A6707"/>
    <w:rsid w:val="008064AC"/>
    <w:rsid w:val="008B253A"/>
    <w:rsid w:val="008D2D70"/>
    <w:rsid w:val="00942FBF"/>
    <w:rsid w:val="00A230FA"/>
    <w:rsid w:val="00AB7646"/>
    <w:rsid w:val="00C66447"/>
    <w:rsid w:val="00C83E8F"/>
    <w:rsid w:val="00CD351F"/>
    <w:rsid w:val="00D07D40"/>
    <w:rsid w:val="00D95565"/>
    <w:rsid w:val="00DA43AA"/>
    <w:rsid w:val="00DB472E"/>
    <w:rsid w:val="00DD5B5D"/>
    <w:rsid w:val="00EA50D2"/>
    <w:rsid w:val="00EF024F"/>
    <w:rsid w:val="00F14964"/>
    <w:rsid w:val="00F84A0D"/>
    <w:rsid w:val="00FC45E3"/>
    <w:rsid w:val="00F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1144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</dc:creator>
  <cp:keywords/>
  <dc:description/>
  <cp:lastModifiedBy>Luís Ribeiro</cp:lastModifiedBy>
  <cp:revision>14</cp:revision>
  <dcterms:created xsi:type="dcterms:W3CDTF">2023-03-22T17:23:00Z</dcterms:created>
  <dcterms:modified xsi:type="dcterms:W3CDTF">2023-04-01T16:24:00Z</dcterms:modified>
</cp:coreProperties>
</file>