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586BD0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AB7646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Carimba-se a folha de rosto com a 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08B30FA4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Feita consoante as regras Portuguesas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6AD17537" w:rsidR="00AB7646" w:rsidRPr="005C4E63" w:rsidRDefault="00EF024F" w:rsidP="00EF024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61A31417" w:rsidR="00F14964" w:rsidRDefault="004109DC" w:rsidP="00F14964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</w:p>
    <w:p w14:paraId="1CE0AA39" w14:textId="31391DE5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5E35FCFA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 xml:space="preserve">Aqui não deveria ser um evento intermediário, invés de um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>?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538C48F8" w14:textId="32B796D4" w:rsidR="001F0A7C" w:rsidRDefault="00942FBF" w:rsidP="001F0A7C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70A3F568">
            <wp:simplePos x="0" y="0"/>
            <wp:positionH relativeFrom="column">
              <wp:posOffset>-208915</wp:posOffset>
            </wp:positionH>
            <wp:positionV relativeFrom="paragraph">
              <wp:posOffset>719455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  <w:r w:rsidR="001F0A7C">
        <w:rPr>
          <w:b/>
          <w:bCs/>
          <w:lang w:val="pt-PT"/>
        </w:rPr>
        <w:br/>
      </w:r>
      <w:r w:rsidR="001F0A7C">
        <w:rPr>
          <w:lang w:val="pt-PT"/>
        </w:rPr>
        <w:t>Ainda não fiz, contudo, será igual ao da monografia, retirando os passos de carimbar, e com a adição do ISBD-ER.</w:t>
      </w:r>
    </w:p>
    <w:p w14:paraId="62DBE162" w14:textId="09A8FB26" w:rsidR="00942FBF" w:rsidRDefault="00942FBF" w:rsidP="001F0A7C">
      <w:pPr>
        <w:ind w:left="360"/>
        <w:rPr>
          <w:lang w:val="pt-PT"/>
        </w:rPr>
      </w:pPr>
    </w:p>
    <w:p w14:paraId="3E9375E7" w14:textId="4F2CAEA3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Usa-se o método de </w:t>
      </w:r>
      <w:proofErr w:type="spellStart"/>
      <w:r>
        <w:rPr>
          <w:lang w:val="pt-PT"/>
        </w:rPr>
        <w:t>Kaizen</w:t>
      </w:r>
      <w:proofErr w:type="spellEnd"/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2093EA18" w:rsidR="00CD351F" w:rsidRPr="00CD351F" w:rsidRDefault="00CD351F" w:rsidP="00CD351F">
      <w:pPr>
        <w:ind w:left="360"/>
        <w:rPr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061CA4AA" w:rsidR="00525343" w:rsidRPr="00586BD0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525343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7"/>
  </w:num>
  <w:num w:numId="3" w16cid:durableId="792791661">
    <w:abstractNumId w:val="4"/>
  </w:num>
  <w:num w:numId="4" w16cid:durableId="1685672705">
    <w:abstractNumId w:val="3"/>
  </w:num>
  <w:num w:numId="5" w16cid:durableId="1412042820">
    <w:abstractNumId w:val="5"/>
  </w:num>
  <w:num w:numId="6" w16cid:durableId="1198813832">
    <w:abstractNumId w:val="6"/>
  </w:num>
  <w:num w:numId="7" w16cid:durableId="1176262054">
    <w:abstractNumId w:val="2"/>
  </w:num>
  <w:num w:numId="8" w16cid:durableId="1119759137">
    <w:abstractNumId w:val="10"/>
  </w:num>
  <w:num w:numId="9" w16cid:durableId="1952663012">
    <w:abstractNumId w:val="1"/>
  </w:num>
  <w:num w:numId="10" w16cid:durableId="167252140">
    <w:abstractNumId w:val="8"/>
  </w:num>
  <w:num w:numId="11" w16cid:durableId="1013917777">
    <w:abstractNumId w:val="12"/>
  </w:num>
  <w:num w:numId="12" w16cid:durableId="300037128">
    <w:abstractNumId w:val="9"/>
  </w:num>
  <w:num w:numId="13" w16cid:durableId="2124766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187A31"/>
    <w:rsid w:val="001F0A7C"/>
    <w:rsid w:val="00333D8B"/>
    <w:rsid w:val="003B4384"/>
    <w:rsid w:val="004109DC"/>
    <w:rsid w:val="00416FB0"/>
    <w:rsid w:val="00433B2B"/>
    <w:rsid w:val="00473774"/>
    <w:rsid w:val="00525343"/>
    <w:rsid w:val="00583B55"/>
    <w:rsid w:val="00586BD0"/>
    <w:rsid w:val="005C4E63"/>
    <w:rsid w:val="006455FE"/>
    <w:rsid w:val="00694A9F"/>
    <w:rsid w:val="007A6707"/>
    <w:rsid w:val="008064AC"/>
    <w:rsid w:val="008D2D70"/>
    <w:rsid w:val="00942FBF"/>
    <w:rsid w:val="00A230FA"/>
    <w:rsid w:val="00AB7646"/>
    <w:rsid w:val="00C66447"/>
    <w:rsid w:val="00CD351F"/>
    <w:rsid w:val="00D95565"/>
    <w:rsid w:val="00EF024F"/>
    <w:rsid w:val="00F1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 (1201184)</dc:creator>
  <cp:keywords/>
  <dc:description/>
  <cp:lastModifiedBy>Luís Ribeiro (1201184)</cp:lastModifiedBy>
  <cp:revision>2</cp:revision>
  <dcterms:created xsi:type="dcterms:W3CDTF">2023-03-22T17:23:00Z</dcterms:created>
  <dcterms:modified xsi:type="dcterms:W3CDTF">2023-03-22T17:23:00Z</dcterms:modified>
</cp:coreProperties>
</file>