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DB472E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39B35C5C" w:rsidR="00AB7646" w:rsidRPr="00C83E8F" w:rsidRDefault="00EF024F" w:rsidP="00EF024F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Está no documento “.</w:t>
      </w:r>
      <w:proofErr w:type="spellStart"/>
      <w:r w:rsidR="00C83E8F">
        <w:rPr>
          <w:b/>
          <w:bCs/>
          <w:u w:val="single"/>
          <w:lang w:val="pt-PT"/>
        </w:rPr>
        <w:t>pdf</w:t>
      </w:r>
      <w:proofErr w:type="spellEnd"/>
      <w:r w:rsidR="00C83E8F">
        <w:rPr>
          <w:b/>
          <w:bCs/>
          <w:u w:val="single"/>
          <w:lang w:val="pt-PT"/>
        </w:rPr>
        <w:t>”.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15ED2543" w:rsidR="00F14964" w:rsidRPr="00C83E8F" w:rsidRDefault="004109DC" w:rsidP="00F14964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Não possuem.</w:t>
      </w:r>
    </w:p>
    <w:p w14:paraId="1CE0AA39" w14:textId="39E2EF62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102B61F7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YES (ALTERAR)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094E6995" w:rsidR="00CD351F" w:rsidRPr="00DB472E" w:rsidRDefault="00CD351F" w:rsidP="00CD351F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NOT NECESSARY, APARENTA ESTAR BEM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66AFBF1B" w:rsidR="00617D81" w:rsidRPr="00DB472E" w:rsidRDefault="00617D81" w:rsidP="00617D81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Faz, basicamente usa-se um timer com “</w:t>
      </w:r>
      <w:r w:rsidR="0023732A">
        <w:rPr>
          <w:b/>
          <w:bCs/>
          <w:u w:val="single"/>
          <w:lang w:val="pt-PT"/>
        </w:rPr>
        <w:t>Periodicamente para cada livro</w:t>
      </w:r>
      <w:r w:rsidR="00DB472E">
        <w:rPr>
          <w:b/>
          <w:bCs/>
          <w:u w:val="single"/>
          <w:lang w:val="pt-PT"/>
        </w:rPr>
        <w:t>”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13CF604F" w14:textId="596E4F96" w:rsidR="0023732A" w:rsidRPr="0023732A" w:rsidRDefault="001B16F0" w:rsidP="001B16F0">
      <w:pPr>
        <w:ind w:left="360"/>
        <w:rPr>
          <w:u w:val="single"/>
          <w:lang w:val="pt-PT"/>
        </w:rPr>
      </w:pPr>
      <w:r>
        <w:rPr>
          <w:lang w:val="pt-PT"/>
        </w:rPr>
        <w:t>Como é que se representa a análise da monografia? Quando é que isso ocorre?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Alterar o “analisar código da espécie” para a “análise da monografia” e colocar o seu estado na </w:t>
      </w:r>
      <w:proofErr w:type="spellStart"/>
      <w:r w:rsidR="0023732A">
        <w:rPr>
          <w:b/>
          <w:bCs/>
          <w:u w:val="single"/>
          <w:lang w:val="pt-PT"/>
        </w:rPr>
        <w:t>BdD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 xml:space="preserve">Os </w:t>
      </w:r>
      <w:proofErr w:type="spellStart"/>
      <w:r>
        <w:rPr>
          <w:lang w:val="pt-PT"/>
        </w:rPr>
        <w:t>Start-Event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devem ser </w:t>
      </w:r>
      <w:proofErr w:type="spellStart"/>
      <w:r>
        <w:rPr>
          <w:lang w:val="pt-PT"/>
        </w:rPr>
        <w:t>End-Events</w:t>
      </w:r>
      <w:proofErr w:type="spellEnd"/>
      <w:r>
        <w:rPr>
          <w:lang w:val="pt-PT"/>
        </w:rPr>
        <w:t>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Sim, passam a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>No “Aceder à Base de Dados”, deve-se representar a Base de Dados?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Sim.</w:t>
      </w:r>
      <w:r w:rsidR="0023732A">
        <w:rPr>
          <w:b/>
          <w:bCs/>
          <w:u w:val="single"/>
          <w:lang w:val="pt-PT"/>
        </w:rPr>
        <w:br/>
        <w:t xml:space="preserve">Retiram-se os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 xml:space="preserve"> iniciais e liga-se o “selecionar devolução” ao “recebe a espécie”.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F84A0D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29EABB22" w14:textId="5F801D6A" w:rsidR="00F84A0D" w:rsidRPr="00EA50D2" w:rsidRDefault="00F84A0D" w:rsidP="00F84A0D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como representar o “mensalmente”.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Sim.</w:t>
      </w:r>
      <w:r>
        <w:rPr>
          <w:lang w:val="pt-PT"/>
        </w:rPr>
        <w:br/>
        <w:t>Perguntar à professora como representar a passagem dos 15 dias.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Faz-se um timer condicional ou algo do género.</w:t>
      </w:r>
    </w:p>
    <w:p w14:paraId="30C52D70" w14:textId="77777777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38307C38" w:rsidR="001E3894" w:rsidRPr="00586BD0" w:rsidRDefault="001E389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1E3894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0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6"/>
  </w:num>
  <w:num w:numId="6" w16cid:durableId="1198813832">
    <w:abstractNumId w:val="9"/>
  </w:num>
  <w:num w:numId="7" w16cid:durableId="1176262054">
    <w:abstractNumId w:val="2"/>
  </w:num>
  <w:num w:numId="8" w16cid:durableId="1119759137">
    <w:abstractNumId w:val="14"/>
  </w:num>
  <w:num w:numId="9" w16cid:durableId="1952663012">
    <w:abstractNumId w:val="1"/>
  </w:num>
  <w:num w:numId="10" w16cid:durableId="167252140">
    <w:abstractNumId w:val="11"/>
  </w:num>
  <w:num w:numId="11" w16cid:durableId="1013917777">
    <w:abstractNumId w:val="17"/>
  </w:num>
  <w:num w:numId="12" w16cid:durableId="300037128">
    <w:abstractNumId w:val="12"/>
  </w:num>
  <w:num w:numId="13" w16cid:durableId="2124766626">
    <w:abstractNumId w:val="16"/>
  </w:num>
  <w:num w:numId="14" w16cid:durableId="952781184">
    <w:abstractNumId w:val="18"/>
  </w:num>
  <w:num w:numId="15" w16cid:durableId="1307976273">
    <w:abstractNumId w:val="13"/>
  </w:num>
  <w:num w:numId="16" w16cid:durableId="233391135">
    <w:abstractNumId w:val="4"/>
  </w:num>
  <w:num w:numId="17" w16cid:durableId="1286305780">
    <w:abstractNumId w:val="8"/>
  </w:num>
  <w:num w:numId="18" w16cid:durableId="1864633643">
    <w:abstractNumId w:val="15"/>
  </w:num>
  <w:num w:numId="19" w16cid:durableId="945620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87A31"/>
    <w:rsid w:val="001B16F0"/>
    <w:rsid w:val="001E3894"/>
    <w:rsid w:val="001F0A7C"/>
    <w:rsid w:val="0023732A"/>
    <w:rsid w:val="00333D8B"/>
    <w:rsid w:val="003B4384"/>
    <w:rsid w:val="003D6CFE"/>
    <w:rsid w:val="004109DC"/>
    <w:rsid w:val="00416FB0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942FBF"/>
    <w:rsid w:val="00A230FA"/>
    <w:rsid w:val="00AB7646"/>
    <w:rsid w:val="00C66447"/>
    <w:rsid w:val="00C83E8F"/>
    <w:rsid w:val="00CD351F"/>
    <w:rsid w:val="00D07D40"/>
    <w:rsid w:val="00D95565"/>
    <w:rsid w:val="00DB472E"/>
    <w:rsid w:val="00DD5B5D"/>
    <w:rsid w:val="00EA50D2"/>
    <w:rsid w:val="00EF024F"/>
    <w:rsid w:val="00F14964"/>
    <w:rsid w:val="00F84A0D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12</cp:revision>
  <dcterms:created xsi:type="dcterms:W3CDTF">2023-03-22T17:23:00Z</dcterms:created>
  <dcterms:modified xsi:type="dcterms:W3CDTF">2023-03-30T09:55:00Z</dcterms:modified>
</cp:coreProperties>
</file>