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Xe95f2742b505667e73ae9d1c5ff611e6cef33e9"/>
    <w:p>
      <w:pPr>
        <w:pStyle w:val="Heading1"/>
      </w:pPr>
      <w:r>
        <w:t xml:space="preserve">Proposta de Paradigma de Dual Rating para Produtos de Crédito Revolventes e de Prazo Fixo / Dual Rating Paradigm for Revolving and Term Credit Products</w:t>
      </w:r>
    </w:p>
    <w:bookmarkStart w:id="21" w:name="resumo-abstract"/>
    <w:p>
      <w:pPr>
        <w:pStyle w:val="Heading2"/>
      </w:pPr>
      <w:r>
        <w:t xml:space="preserve">Resumo / Abstract</w:t>
      </w:r>
    </w:p>
    <w:p>
      <w:pPr>
        <w:pStyle w:val="FirstParagraph"/>
      </w:pPr>
      <w:r>
        <w:rPr>
          <w:b/>
          <w:bCs/>
        </w:rPr>
        <w:t xml:space="preserve">Português –</w:t>
      </w:r>
      <w:r>
        <w:t xml:space="preserve"> </w:t>
      </w:r>
      <w:r>
        <w:t xml:space="preserve">Este artigo argumenta que as instituições financeiras que operam no Brasil – em especial aquelas que oferecem limites de conta (cheque especial), cartões de crédito e linhas de capital de giro – devem migrar de um modelo de</w:t>
      </w:r>
      <w:r>
        <w:t xml:space="preserve"> </w:t>
      </w:r>
      <w:r>
        <w:rPr>
          <w:b/>
          <w:bCs/>
        </w:rPr>
        <w:t xml:space="preserve">rating</w:t>
      </w:r>
      <w:r>
        <w:t xml:space="preserve"> </w:t>
      </w:r>
      <w:r>
        <w:t xml:space="preserve">de crédito único para um sistema de</w:t>
      </w:r>
      <w:r>
        <w:t xml:space="preserve"> </w:t>
      </w:r>
      <w:r>
        <w:rPr>
          <w:b/>
          <w:bCs/>
        </w:rPr>
        <w:t xml:space="preserve">dual rating</w:t>
      </w:r>
      <w:r>
        <w:t xml:space="preserve">. A análise baseia‑se em normas internacionais (Basel II/III, IFRS 9), nas novas regras do Banco Central (Resolução CMN 4.966/2021) e em evidências empíricas de inadimplência que diferenciam produtos revolventes de produtos a prazo. O estudo demonstra que separar a</w:t>
      </w:r>
      <w:r>
        <w:t xml:space="preserve"> </w:t>
      </w:r>
      <w:r>
        <w:rPr>
          <w:b/>
          <w:bCs/>
        </w:rPr>
        <w:t xml:space="preserve">probabilidade de inadimplência</w:t>
      </w:r>
      <w:r>
        <w:t xml:space="preserve"> </w:t>
      </w:r>
      <w:r>
        <w:t xml:space="preserve">(PD) da</w:t>
      </w:r>
      <w:r>
        <w:t xml:space="preserve"> </w:t>
      </w:r>
      <w:r>
        <w:rPr>
          <w:b/>
          <w:bCs/>
        </w:rPr>
        <w:t xml:space="preserve">perda em caso de inadimplência</w:t>
      </w:r>
      <w:r>
        <w:t xml:space="preserve"> </w:t>
      </w:r>
      <w:r>
        <w:t xml:space="preserve">(LGD) melhora a granularidade das estimativas, permite o alinhamento com modelos de perda esperada e possibilita precificação mais sensível ao risco. Também discute desafios de implementação e sugere um roteiro para adoção gradual do dual rating.</w:t>
      </w:r>
    </w:p>
    <w:p>
      <w:pPr>
        <w:pStyle w:val="BodyText"/>
      </w:pPr>
      <w:r>
        <w:rPr>
          <w:b/>
          <w:bCs/>
        </w:rPr>
        <w:t xml:space="preserve">English –</w:t>
      </w:r>
      <w:r>
        <w:t xml:space="preserve"> </w:t>
      </w:r>
      <w:r>
        <w:t xml:space="preserve">This paper argues that Brazilian financial institutions—particularly those offering overdraft limits, credit cards and working‑capital lines—should migrate from a</w:t>
      </w:r>
      <w:r>
        <w:t xml:space="preserve"> </w:t>
      </w:r>
      <w:r>
        <w:rPr>
          <w:b/>
          <w:bCs/>
        </w:rPr>
        <w:t xml:space="preserve">single credit rating</w:t>
      </w:r>
      <w:r>
        <w:t xml:space="preserve"> </w:t>
      </w:r>
      <w:r>
        <w:t xml:space="preserve">paradigm to a</w:t>
      </w:r>
      <w:r>
        <w:t xml:space="preserve"> </w:t>
      </w:r>
      <w:r>
        <w:rPr>
          <w:b/>
          <w:bCs/>
        </w:rPr>
        <w:t xml:space="preserve">dual‑rating system</w:t>
      </w:r>
      <w:r>
        <w:t xml:space="preserve">. The analysis draws on international standards (Basel II/III, IFRS 9), the Brazilian Central Bank’s new Resolution 4,966/2021, and empirical evidence on delinquency that distinguishes revolving products from term loans. Separating the</w:t>
      </w:r>
      <w:r>
        <w:t xml:space="preserve"> </w:t>
      </w:r>
      <w:r>
        <w:rPr>
          <w:b/>
          <w:bCs/>
        </w:rPr>
        <w:t xml:space="preserve">probability of default</w:t>
      </w:r>
      <w:r>
        <w:t xml:space="preserve"> </w:t>
      </w:r>
      <w:r>
        <w:t xml:space="preserve">(PD) from</w:t>
      </w:r>
      <w:r>
        <w:t xml:space="preserve"> </w:t>
      </w:r>
      <w:r>
        <w:rPr>
          <w:b/>
          <w:bCs/>
        </w:rPr>
        <w:t xml:space="preserve">loss given default</w:t>
      </w:r>
      <w:r>
        <w:t xml:space="preserve"> </w:t>
      </w:r>
      <w:r>
        <w:t xml:space="preserve">(LGD) increases rating granularity, aligns with expected‑loss provisioning models and improves risk‑sensitive pricing. Implementation challenges are discussed and a roadmap for gradual adoption is suggested.</w:t>
      </w:r>
    </w:p>
    <w:bookmarkEnd w:id="21"/>
    <w:bookmarkStart w:id="27" w:name="introdução-introduction"/>
    <w:p>
      <w:pPr>
        <w:pStyle w:val="Heading2"/>
      </w:pPr>
      <w:r>
        <w:t xml:space="preserve">1 Introdução / Introduction</w:t>
      </w:r>
    </w:p>
    <w:p>
      <w:pPr>
        <w:pStyle w:val="FirstParagraph"/>
      </w:pPr>
      <w:r>
        <w:t xml:space="preserve">O modelo tradicional de avaliação de risco de crédito em bancos brasileiros segue a Resolução CMN 2.682/1999, que classifica operações com base em faixas de dias de atraso e determina percentuais mínimos de provisão. Esse modelo é reativo – reconhece perdas apenas após a ocorrência do atraso – e, segundo críticas, gera concentração de operações em poucas classes de risco e reduz a capacidade preditiva da provisão (Associação Brasileira de Bancos, 2022). A Resolução CMN 4.966/2021, que entrará em vigor em 1º de janeiro de 2025, revoga a antiga regra e introduz metodologia de perda esperada inspirada na IFRS 9, exigindo que as instituições considerem todas as informações razoáveis e sustentáveis para avaliar o aumento significativo de risco de crédito</w:t>
      </w:r>
      <w:hyperlink r:id="rId22">
        <w:r>
          <w:rPr>
            <w:rStyle w:val="Hyperlink"/>
          </w:rPr>
          <w:t xml:space="preserve">[1]</w:t>
        </w:r>
      </w:hyperlink>
      <w:r>
        <w:t xml:space="preserve">. A nova norma adota um modelo de três estágios (baixo risco, aumento significativo de risco, e ativo problemático) e prevê provisão baseada na probabilidade de o instrumento tornar‑se ativo problemático durante seu prazo esperado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Dentro desse contexto regulatório, muitas instituições no mundo já migraram para sistemas de</w:t>
      </w:r>
      <w:r>
        <w:t xml:space="preserve"> </w:t>
      </w:r>
      <w:r>
        <w:rPr>
          <w:b/>
          <w:bCs/>
        </w:rPr>
        <w:t xml:space="preserve">dual risk rating</w:t>
      </w:r>
      <w:r>
        <w:t xml:space="preserve">, nos quais cada exposição recebe dois ratings: um refletindo a</w:t>
      </w:r>
      <w:r>
        <w:t xml:space="preserve"> </w:t>
      </w:r>
      <w:r>
        <w:rPr>
          <w:b/>
          <w:bCs/>
        </w:rPr>
        <w:t xml:space="preserve">qualidade do devedor</w:t>
      </w:r>
      <w:r>
        <w:t xml:space="preserve"> </w:t>
      </w:r>
      <w:r>
        <w:t xml:space="preserve">(PD) e outro refletindo as características da operação ou garantia (LGD). O Banco de Compensações Internacionais (BCI) observou que muitas instituições combinam rating do devedor com rating da operação; as notas da operação variam conforme colateral, senioridade e estrutura jurídica</w:t>
      </w:r>
      <w:hyperlink r:id="rId23">
        <w:r>
          <w:rPr>
            <w:rStyle w:val="Hyperlink"/>
          </w:rPr>
          <w:t xml:space="preserve">[3]</w:t>
        </w:r>
      </w:hyperlink>
      <w:r>
        <w:t xml:space="preserve">. O</w:t>
      </w:r>
      <w:r>
        <w:t xml:space="preserve"> </w:t>
      </w:r>
      <w:r>
        <w:rPr>
          <w:i/>
          <w:iCs/>
        </w:rPr>
        <w:t xml:space="preserve">Comptroller’s Handbook</w:t>
      </w:r>
      <w:r>
        <w:t xml:space="preserve"> </w:t>
      </w:r>
      <w:r>
        <w:t xml:space="preserve">dos EUA explica que sistemas de dual rating atribuem um rating ao devedor e outro à operação, porque um único rating não suporta funções diversas como definição de limites, capital regulatório e cálculo de provisões</w:t>
      </w:r>
      <w:hyperlink r:id="rId24">
        <w:r>
          <w:rPr>
            <w:rStyle w:val="Hyperlink"/>
          </w:rPr>
          <w:t xml:space="preserve">[4]</w:t>
        </w:r>
      </w:hyperlink>
      <w:r>
        <w:t xml:space="preserve">. A Risk Management Association (RMA) define que o dual rating utiliza uma escala de rating do devedor (PD) combinada a uma escala de rating da operação (LGD), proporcionando granularidade e consistência na avaliação</w:t>
      </w:r>
      <w:hyperlink r:id="rId25">
        <w:r>
          <w:rPr>
            <w:rStyle w:val="Hyperlink"/>
          </w:rPr>
          <w:t xml:space="preserve">[5]</w:t>
        </w:r>
      </w:hyperlink>
      <w:r>
        <w:t xml:space="preserve">. Moody’s observa que, à medida que os bancos evoluem, eles tendem a separar o risco do devedor e da operação; instituições com ativos superiores a US$ 25 bilhões já utilizam amplamente dual rating e os bancos médios estão migrando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BodyText"/>
      </w:pPr>
      <w:r>
        <w:t xml:space="preserve">Este artigo propõe a adoção de um sistema de dual rating para três produtos específicos –</w:t>
      </w:r>
      <w:r>
        <w:t xml:space="preserve"> </w:t>
      </w:r>
      <w:r>
        <w:rPr>
          <w:b/>
          <w:bCs/>
        </w:rPr>
        <w:t xml:space="preserve">limite de conta</w:t>
      </w:r>
      <w:r>
        <w:t xml:space="preserve">,</w:t>
      </w:r>
      <w:r>
        <w:t xml:space="preserve"> </w:t>
      </w:r>
      <w:r>
        <w:rPr>
          <w:b/>
          <w:bCs/>
        </w:rPr>
        <w:t xml:space="preserve">cartão de crédito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capital de giro</w:t>
      </w:r>
      <w:r>
        <w:t xml:space="preserve"> </w:t>
      </w:r>
      <w:r>
        <w:t xml:space="preserve">– e compara o modelo com o sistema de rating único atualmente em uso.</w:t>
      </w:r>
    </w:p>
    <w:bookmarkEnd w:id="27"/>
    <w:bookmarkStart w:id="44" w:name="Xbdcb26e6d3db1823a94397753d7bcd597fca3d2"/>
    <w:p>
      <w:pPr>
        <w:pStyle w:val="Heading2"/>
      </w:pPr>
      <w:r>
        <w:t xml:space="preserve">2 Revisão de Literatura e Base Normativa / Literature Review and Normative Framework</w:t>
      </w:r>
    </w:p>
    <w:bookmarkStart w:id="31" w:name="X80da55fb688a2d4472efb3141d5cbae223cd414"/>
    <w:p>
      <w:pPr>
        <w:pStyle w:val="Heading3"/>
      </w:pPr>
      <w:r>
        <w:t xml:space="preserve">2.1 Normas Internacionais (Basel II/III e IFRS 9)</w:t>
      </w:r>
    </w:p>
    <w:p>
      <w:pPr>
        <w:pStyle w:val="FirstParagraph"/>
      </w:pPr>
      <w:r>
        <w:t xml:space="preserve">O Acordo de Basileia II introduziu a Abordagem Internal Ratings‑Based (IRB). O documento de apoio destaca que muitas instituições utilizam sistemas de dois níveis, atribuindo simultaneamente um</w:t>
      </w:r>
      <w:r>
        <w:t xml:space="preserve"> </w:t>
      </w:r>
      <w:r>
        <w:rPr>
          <w:b/>
          <w:bCs/>
        </w:rPr>
        <w:t xml:space="preserve">rating do devedor</w:t>
      </w:r>
      <w:r>
        <w:t xml:space="preserve"> </w:t>
      </w:r>
      <w:r>
        <w:t xml:space="preserve">e um</w:t>
      </w:r>
      <w:r>
        <w:t xml:space="preserve"> </w:t>
      </w:r>
      <w:r>
        <w:rPr>
          <w:b/>
          <w:bCs/>
        </w:rPr>
        <w:t xml:space="preserve">rating da operação</w:t>
      </w:r>
      <w:r>
        <w:t xml:space="preserve">; as notas da operação diferem segundo colateral, senioridade ou outros atributos</w:t>
      </w:r>
      <w:hyperlink r:id="rId28">
        <w:r>
          <w:rPr>
            <w:rStyle w:val="Hyperlink"/>
          </w:rPr>
          <w:t xml:space="preserve">[7]</w:t>
        </w:r>
      </w:hyperlink>
      <w:r>
        <w:t xml:space="preserve">. Essa arquitetura permite estimar separadamente a</w:t>
      </w:r>
      <w:r>
        <w:t xml:space="preserve"> </w:t>
      </w:r>
      <w:r>
        <w:rPr>
          <w:b/>
          <w:bCs/>
        </w:rPr>
        <w:t xml:space="preserve">probabilidade de inadimplência (PD)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perda em caso de inadimplência (LGD)</w:t>
      </w:r>
      <w:r>
        <w:t xml:space="preserve">, requisitos centrais do IRB.</w:t>
      </w:r>
    </w:p>
    <w:p>
      <w:pPr>
        <w:pStyle w:val="BodyText"/>
      </w:pPr>
      <w:r>
        <w:t xml:space="preserve">A IFRS 9 (Instrumentos Financeiros) introduziu a abordagem de</w:t>
      </w:r>
      <w:r>
        <w:t xml:space="preserve"> </w:t>
      </w:r>
      <w:r>
        <w:rPr>
          <w:b/>
          <w:bCs/>
        </w:rPr>
        <w:t xml:space="preserve">perdas esperadas</w:t>
      </w:r>
      <w:r>
        <w:t xml:space="preserve">. O parágrafo B5.5.22 presume que houve um aumento significativo do risco de crédito quando pagamentos estão atrasados mais de 30 dias</w:t>
      </w:r>
      <w:hyperlink r:id="rId29">
        <w:r>
          <w:rPr>
            <w:rStyle w:val="Hyperlink"/>
          </w:rPr>
          <w:t xml:space="preserve">[8]</w:t>
        </w:r>
      </w:hyperlink>
      <w:r>
        <w:t xml:space="preserve">; contudo, a norma permite rebutar essa presunção se houver informações razoáveis que indiquem ausência de aumento significativo</w:t>
      </w:r>
      <w:hyperlink r:id="rId30">
        <w:r>
          <w:rPr>
            <w:rStyle w:val="Hyperlink"/>
          </w:rPr>
          <w:t xml:space="preserve">[9]</w:t>
        </w:r>
      </w:hyperlink>
      <w:r>
        <w:t xml:space="preserve">. Isso reforça a necessidade de sistemas de classificação que capturem mudanças graduais no risco e que utilizem indicadores prospectivos, não apenas dias de atraso.</w:t>
      </w:r>
    </w:p>
    <w:bookmarkEnd w:id="31"/>
    <w:bookmarkStart w:id="35" w:name="X3bdf65a68671ad8c4cd66a705eef86325a6cf32"/>
    <w:p>
      <w:pPr>
        <w:pStyle w:val="Heading3"/>
      </w:pPr>
      <w:r>
        <w:t xml:space="preserve">2.2 Resolução CMN 4.966/2021 e Resolução BCB 352/2023</w:t>
      </w:r>
    </w:p>
    <w:p>
      <w:pPr>
        <w:pStyle w:val="FirstParagraph"/>
      </w:pPr>
      <w:r>
        <w:t xml:space="preserve">A Resolução 4.966/2021 incorpora os princípios da IFRS 9 ao arcabouço prudencial brasileiro. Diferentemente da Resolução 2.682, a nova regra permite que as provisões mínimas sejam calculadas por carteiras de instrumentos com características semelhantes, incluindo risco de crédito da contraparte, níveis de atraso e estágio em que o instrumento se encontra</w:t>
      </w:r>
      <w:hyperlink r:id="rId32">
        <w:r>
          <w:rPr>
            <w:rStyle w:val="Hyperlink"/>
          </w:rPr>
          <w:t xml:space="preserve">[10]</w:t>
        </w:r>
      </w:hyperlink>
      <w:r>
        <w:t xml:space="preserve">. As instituições devem alocar cada operação em um de três estágios – instrumentos de baixo risco, instrumentos com aumento significativo de risco, ou ativos problemáticos – e calcular provisões com base na probabilidade de migração de estágio durante a vida do instrumento</w:t>
      </w:r>
      <w:hyperlink r:id="rId22">
        <w:r>
          <w:rPr>
            <w:rStyle w:val="Hyperlink"/>
          </w:rPr>
          <w:t xml:space="preserve">[2]</w:t>
        </w:r>
      </w:hyperlink>
      <w:r>
        <w:t xml:space="preserve">. O artigo 38 da resolução determina que a avaliação do aumento significativo de risco considere informações internas e externas, alterações nas condições de negócios da contraparte, reestruturações e atrasos no pagamento</w:t>
      </w:r>
      <w:hyperlink r:id="rId33">
        <w:r>
          <w:rPr>
            <w:rStyle w:val="Hyperlink"/>
          </w:rPr>
          <w:t xml:space="preserve">[11]</w:t>
        </w:r>
      </w:hyperlink>
      <w:r>
        <w:t xml:space="preserve">. A Resolução BCB 352/2023 complementa a normativa ao definir percentuais mínimos de provisão para instrumentos inadimplidos e classificar ativos em carteiras conforme garantia, hipoteca ou seguro</w:t>
      </w:r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35"/>
    <w:bookmarkStart w:id="39" w:name="sistemas-de-rating-único-vs.-dual-rating"/>
    <w:p>
      <w:pPr>
        <w:pStyle w:val="Heading3"/>
      </w:pPr>
      <w:r>
        <w:t xml:space="preserve">2.3 Sistemas de Rating Único vs. Dual Rating</w:t>
      </w:r>
    </w:p>
    <w:p>
      <w:pPr>
        <w:pStyle w:val="FirstParagraph"/>
      </w:pPr>
      <w:r>
        <w:t xml:space="preserve">Em um sistema de rating único, a nota normalmente combina percepção de risco do tomador e da operação. A RMA observa que ratings únicos usam escalas de 8–10 pontos baseadas em classificações regulatórias, o que pode gerar grande concentração de operações em poucas notas e menor capacidade de diferenciação</w:t>
      </w:r>
      <w:hyperlink r:id="rId36">
        <w:r>
          <w:rPr>
            <w:rStyle w:val="Hyperlink"/>
          </w:rPr>
          <w:t xml:space="preserve">[13]</w:t>
        </w:r>
      </w:hyperlink>
      <w:r>
        <w:t xml:space="preserve">. Já o</w:t>
      </w:r>
      <w:r>
        <w:t xml:space="preserve"> </w:t>
      </w:r>
      <w:r>
        <w:rPr>
          <w:b/>
          <w:bCs/>
        </w:rPr>
        <w:t xml:space="preserve">dual rating</w:t>
      </w:r>
      <w:r>
        <w:t xml:space="preserve"> </w:t>
      </w:r>
      <w:r>
        <w:t xml:space="preserve">emprega duas escalas – uma para PD e outra para LGD – permitindo separar a qualidade do devedor das características do empréstimo</w:t>
      </w:r>
      <w:hyperlink r:id="rId25">
        <w:r>
          <w:rPr>
            <w:rStyle w:val="Hyperlink"/>
          </w:rPr>
          <w:t xml:space="preserve">[5]</w:t>
        </w:r>
      </w:hyperlink>
      <w:r>
        <w:t xml:space="preserve">. Moody’s aponta que, na prática, bancos evoluem de ratings básicos (4–5 notas de passagem) para escalas mais granulares; a separação de PD e LGD é quase universal entre bancos com ativos superiores a US$ 25 bilhões</w:t>
      </w:r>
      <w:hyperlink r:id="rId37">
        <w:r>
          <w:rPr>
            <w:rStyle w:val="Hyperlink"/>
          </w:rPr>
          <w:t xml:space="preserve">[14]</w:t>
        </w:r>
      </w:hyperlink>
      <w:r>
        <w:t xml:space="preserve">. A apresentação indica que maior granularidade permite: (i) focar originação em créditos com melhor risco; (ii) precificar adequadamente créditos mais fracos; (iii) detectar deterioração antes de os empréstimos migrarem para classificações de risco elevado; e (iv) oferecer flexibilidade para conceder crédito a devedores fracos com garantias fortes ou vice‑versa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9"/>
    <w:bookmarkStart w:id="43" w:name="X130d6664da7c8cd29da41623ac0c9b14e31c43b"/>
    <w:p>
      <w:pPr>
        <w:pStyle w:val="Heading3"/>
      </w:pPr>
      <w:r>
        <w:t xml:space="preserve">2.4 Evidências Empíricas sobre Produtos Revolventes e de Prazo Fixo</w:t>
      </w:r>
    </w:p>
    <w:p>
      <w:pPr>
        <w:pStyle w:val="FirstParagraph"/>
      </w:pPr>
      <w:r>
        <w:t xml:space="preserve">A decisão de adotar dual rating é particularmente relevante para produtos revolventes, como cartão de crédito e limites de conta, devido à volatilidade da utilização e à maior incerteza sobre o</w:t>
      </w:r>
      <w:r>
        <w:t xml:space="preserve"> </w:t>
      </w:r>
      <w:r>
        <w:rPr>
          <w:b/>
          <w:bCs/>
        </w:rPr>
        <w:t xml:space="preserve">exposure at default</w:t>
      </w:r>
      <w:r>
        <w:t xml:space="preserve">. Dados do Federal Reserve dos Estados Unidos mostram que, de 2000 a 2025, a taxa de inadimplência de cartões de crédito (série trimestral de saldos com atraso superior a 30 dias) permaneceu consistentemente superior à taxa de inadimplência de empréstimos para automóveis na maior parte do período</w:t>
      </w:r>
      <w:hyperlink r:id="rId40">
        <w:r>
          <w:rPr>
            <w:rStyle w:val="Hyperlink"/>
          </w:rPr>
          <w:t xml:space="preserve">[16]</w:t>
        </w:r>
      </w:hyperlink>
      <w:r>
        <w:t xml:space="preserve">. A diferença é notável durante crises: em 2009, a taxa de inadimplência em cartões atingiu 7,17 % contra 4,54 % nos empréstimos de automóveis</w:t>
      </w:r>
      <w:hyperlink r:id="rId40">
        <w:r>
          <w:rPr>
            <w:rStyle w:val="Hyperlink"/>
          </w:rPr>
          <w:t xml:space="preserve">[17]</w:t>
        </w:r>
      </w:hyperlink>
      <w:r>
        <w:t xml:space="preserve">. A partir de 2022, as taxas de cartão voltaram a subir e superaram 4 % ao passo que as de auto loans permaneciam abaixo de 4 %</w:t>
      </w:r>
      <w:hyperlink r:id="rId41">
        <w:r>
          <w:rPr>
            <w:rStyle w:val="Hyperlink"/>
          </w:rPr>
          <w:t xml:space="preserve">[18]</w:t>
        </w:r>
      </w:hyperlink>
      <w:r>
        <w:t xml:space="preserve">. Esses dados corroboram a tese de que produtos revolventes são mais sensíveis ao ciclo econômico e exibem maior volatilidade de inadimplência, justificando uma abordagem diferenciada de provisão e precificação.</w:t>
      </w:r>
    </w:p>
    <w:p>
      <w:pPr>
        <w:pStyle w:val="BodyText"/>
      </w:pPr>
      <w:r>
        <w:t xml:space="preserve">A Resolução 4.966, ao exigir que as instituições considerem tanto características do instrumento quanto da contraparte na alocação por estágios, abre espaço para adotar dual rating e estimar separadamente PD e LGD. Estudos acadêmicos no Brasil também apontam que a metodologia de perdas esperadas exigirá aprimoramento das metodologias de trabalho e acompanhamento do risco de crédito ao longo do tempo; o principal desafio é estimar a PD ao longo da vida do instrumento (PD lifetime)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</w:p>
    <w:bookmarkEnd w:id="43"/>
    <w:bookmarkEnd w:id="44"/>
    <w:bookmarkStart w:id="46" w:name="Xfb0179f5f9ee01ce4bbf31779b4f22d4db6e6e5"/>
    <w:p>
      <w:pPr>
        <w:pStyle w:val="Heading2"/>
      </w:pPr>
      <w:r>
        <w:t xml:space="preserve">3 Metodologia Proposta / Proposed Methodology</w:t>
      </w:r>
    </w:p>
    <w:p>
      <w:pPr>
        <w:pStyle w:val="FirstParagraph"/>
      </w:pPr>
      <w:r>
        <w:t xml:space="preserve">Para adequar os três produtos ao paradigma de dual rating, propomos as seguintes etapas: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Definição das Escalas de PD e LGD:</w:t>
      </w:r>
      <w:r>
        <w:t xml:space="preserve"> </w:t>
      </w:r>
      <w:r>
        <w:t xml:space="preserve">Estabelecer uma escala de rating do devedor composta de 14 classes (por exemplo, de AAA a D) que represente diferentes faixas de probabilidade de inadimplência anual. Em paralelo, definir uma escala de LGD com 10 classes refletindo o percentual de perda esperado caso ocorra inadimplência, considerando garantias, senioridade e exposição futura. Essa configuração segue a recomendação da RMA, que usa escalas 14×10 para PD e LGD</w:t>
      </w:r>
      <w:hyperlink r:id="rId25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Modelagem Estatística e Juízo de Especialistas:</w:t>
      </w:r>
      <w:r>
        <w:t xml:space="preserve"> </w:t>
      </w:r>
      <w:r>
        <w:t xml:space="preserve">Para o rating do devedor, utilizar modelos de regressão logística, árvores de decisão ou redes neurais treinadas com dados históricos de inadimplência (incluindo variáveis financeiras, comportamentais e macroeconômicas) e complementá‑los com julgamento de analistas conforme diretrizes da Basel II</w:t>
      </w:r>
      <w:hyperlink r:id="rId45">
        <w:r>
          <w:rPr>
            <w:rStyle w:val="Hyperlink"/>
          </w:rPr>
          <w:t xml:space="preserve">[21]</w:t>
        </w:r>
      </w:hyperlink>
      <w:r>
        <w:t xml:space="preserve">. Para o rating da operação, estimar LGD por meio de métodos de recuperação histórico, considerando colateral, valor residual e custo de recuperação. Deve‑se permitir ajustes de especialistas, mas com limitações para garantir consistência</w:t>
      </w:r>
      <w:hyperlink r:id="rId45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Segmentação por Produto:</w:t>
      </w:r>
      <w:r>
        <w:t xml:space="preserve"> </w:t>
      </w:r>
      <w:r>
        <w:t xml:space="preserve">Embora os três produtos propostos pertençam ao crédito comercial, eles apresentam naturezas distintas.</w:t>
      </w:r>
      <w:r>
        <w:t xml:space="preserve"> </w:t>
      </w:r>
      <w:r>
        <w:rPr>
          <w:b/>
          <w:bCs/>
        </w:rPr>
        <w:t xml:space="preserve">Cartões de crédito e limites de conta</w:t>
      </w:r>
      <w:r>
        <w:t xml:space="preserve"> </w:t>
      </w:r>
      <w:r>
        <w:t xml:space="preserve">são revolventes; exigem estimativas de exposição à inadimplência dinâmicas (EAD) e apresentam volatilidade maior de PD.</w:t>
      </w:r>
      <w:r>
        <w:t xml:space="preserve"> </w:t>
      </w:r>
      <w:r>
        <w:rPr>
          <w:b/>
          <w:bCs/>
        </w:rPr>
        <w:t xml:space="preserve">Linhas de capital de giro</w:t>
      </w:r>
      <w:r>
        <w:t xml:space="preserve"> </w:t>
      </w:r>
      <w:r>
        <w:t xml:space="preserve">são empréstimos a prazo fixo com amortização; a PD pode ser menor e a LGD depende das garantias (frequentemente recebíveis ou estoques). Sugerimos calibrar escalas separadas de LGD para produtos revolventes e a prazo.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Integração com Sistemas Legados e Processos de Governança:</w:t>
      </w:r>
      <w:r>
        <w:t xml:space="preserve"> </w:t>
      </w:r>
      <w:r>
        <w:t xml:space="preserve">Adotar dual rating requer ajustes nos sistemas de origem, aprovação e monitoramento de crédito. O</w:t>
      </w:r>
      <w:r>
        <w:t xml:space="preserve"> </w:t>
      </w:r>
      <w:r>
        <w:rPr>
          <w:b/>
          <w:bCs/>
        </w:rPr>
        <w:t xml:space="preserve">Comptroller’s Handbook</w:t>
      </w:r>
      <w:r>
        <w:t xml:space="preserve"> </w:t>
      </w:r>
      <w:r>
        <w:t xml:space="preserve">enfatiza que ratings devem apoiar decisões de precificação, alocação de limites, determinação de capital e provisões</w:t>
      </w:r>
      <w:hyperlink r:id="rId24">
        <w:r>
          <w:rPr>
            <w:rStyle w:val="Hyperlink"/>
          </w:rPr>
          <w:t xml:space="preserve">[4]</w:t>
        </w:r>
      </w:hyperlink>
      <w:r>
        <w:t xml:space="preserve">. É crucial estabelecer governança robusta, documentação de modelos e rotinas de validação interna e externa.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Alinhamento com IFRS 9/Resolução 4.966:</w:t>
      </w:r>
      <w:r>
        <w:t xml:space="preserve"> </w:t>
      </w:r>
      <w:r>
        <w:t xml:space="preserve">O dual rating deve alimentar o cálculo de provisões de perda esperada em cada estágio. Para instrumentos no Estágio I (baixo risco), a provisão corresponde à PD 12 meses multiplicada por LGD e EAD; para Estágio II (aumento significativo de risco), utilizar PD lifetime; para Estágio III (ativo problemático), a provisão corresponde à perda esperada imediata</w:t>
      </w:r>
      <w:hyperlink r:id="rId22">
        <w:r>
          <w:rPr>
            <w:rStyle w:val="Hyperlink"/>
          </w:rPr>
          <w:t xml:space="preserve">[2]</w:t>
        </w:r>
      </w:hyperlink>
      <w:r>
        <w:t xml:space="preserve">. O rating do devedor servirá de base para migrar entre estágios, enquanto o rating da operação determinará LGD.</w:t>
      </w:r>
    </w:p>
    <w:bookmarkEnd w:id="46"/>
    <w:bookmarkStart w:id="48" w:name="discussão-discussion"/>
    <w:p>
      <w:pPr>
        <w:pStyle w:val="Heading2"/>
      </w:pPr>
      <w:r>
        <w:t xml:space="preserve">4 Discussão / Discussion</w:t>
      </w:r>
    </w:p>
    <w:p>
      <w:pPr>
        <w:pStyle w:val="FirstParagraph"/>
      </w:pPr>
      <w:r>
        <w:t xml:space="preserve">A adoção do dual rating para os produtos de limite de conta, cartão de crédito e capital de giro oferece vários benefícios: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Granularidade e Consistência:</w:t>
      </w:r>
      <w:r>
        <w:t xml:space="preserve"> </w:t>
      </w:r>
      <w:r>
        <w:t xml:space="preserve">A separação entre PD e LGD aumenta a capacidade de diferenciar riscos e evita que operações com devedores similares mas garantias distintas sejam classificadas da mesma forma. Moody’s destaca que a granularidade permite identificar deterioração antes de o crédito entrar em classificação de risco elevada, gerando ações proativas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Adequação Regulatória:</w:t>
      </w:r>
      <w:r>
        <w:t xml:space="preserve"> </w:t>
      </w:r>
      <w:r>
        <w:t xml:space="preserve">A Resolução 4.966 exige o uso de informações razoáveis e sustentáveis para avaliar o aumento significativo do risco</w:t>
      </w:r>
      <w:hyperlink r:id="rId33">
        <w:r>
          <w:rPr>
            <w:rStyle w:val="Hyperlink"/>
          </w:rPr>
          <w:t xml:space="preserve">[11]</w:t>
        </w:r>
      </w:hyperlink>
      <w:r>
        <w:t xml:space="preserve">. Dual rating fornece insumos estruturados para essa avaliação e alinha-se ao modelo de perda esperada, estimando separadamente PD, LGD e EAD.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Precificação e Gestão de Portfólio:</w:t>
      </w:r>
      <w:r>
        <w:t xml:space="preserve"> </w:t>
      </w:r>
      <w:r>
        <w:t xml:space="preserve">A maior granularidade melhora a precificação (taxa de juros ajustada ao risco) e permite gestão ativa de carteiras. Instituições podem direcionar originação para segmentos mais rentáveis ajustados pelo risco e reduzir concentração de exposições passadas em poucas notas, conforme alerta a RMA</w:t>
      </w:r>
      <w:hyperlink r:id="rId36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Visão Estratégica:</w:t>
      </w:r>
      <w:r>
        <w:t xml:space="preserve"> </w:t>
      </w:r>
      <w:r>
        <w:t xml:space="preserve">Dados de dual rating permitem análises de rentabilidade por produto e segmento. Moody’s observa que ratings mais granulares ajudam liderança executiva a entender o desempenho de linhas de negócio e a precificação relativa de portfólios distintos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FirstParagraph"/>
      </w:pPr>
      <w:r>
        <w:t xml:space="preserve">Entretanto, a implementação enfrenta desafios: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Disponibilidade de Dados:</w:t>
      </w:r>
      <w:r>
        <w:t xml:space="preserve"> </w:t>
      </w:r>
      <w:r>
        <w:t xml:space="preserve">Produtos revolventes exigem estimativas de exposição à inadimplência que variam ao longo do ciclo; carecem de histórico estruturado em muitas instituições. O estudo de Oliveira &amp; Lumertz (2023) ressalta que a principal dificuldade na aplicação da Resolução 4.966 é estimar a PD ao longo da vida útil (PD lifetime) e que serão necessárias ferramentas analíticas avançadas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Complexidade de Modelagem:</w:t>
      </w:r>
      <w:r>
        <w:t xml:space="preserve"> </w:t>
      </w:r>
      <w:r>
        <w:t xml:space="preserve">Calibrar modelos de LGD requer observar recuperações ao longo de vários anos e ajustar por custo de recuperação. É importante considerar diferentes garantias (estoques, recebíveis, imobilizado) e cenários macroeconômicos.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Custo e Governança:</w:t>
      </w:r>
      <w:r>
        <w:t xml:space="preserve"> </w:t>
      </w:r>
      <w:r>
        <w:t xml:space="preserve">Implementar dual rating implica investimentos em tecnologia, treinamento de equipe e governança para assegurar a validação dos modelos. Bancos de pequeno e médio porte podem enfrentar barreiras, mas Moody’s e RMA notam que soluções tecnológicas mais acessíveis têm reduzido esses obstáculos</w:t>
      </w:r>
      <w:hyperlink r:id="rId47">
        <w:r>
          <w:rPr>
            <w:rStyle w:val="Hyperlink"/>
          </w:rPr>
          <w:t xml:space="preserve">[22]</w:t>
        </w:r>
      </w:hyperlink>
      <w:r>
        <w:t xml:space="preserve">.</w:t>
      </w:r>
    </w:p>
    <w:bookmarkEnd w:id="48"/>
    <w:bookmarkStart w:id="49" w:name="conclusão-conclusion"/>
    <w:p>
      <w:pPr>
        <w:pStyle w:val="Heading2"/>
      </w:pPr>
      <w:r>
        <w:t xml:space="preserve">5 Conclusão / Conclusion</w:t>
      </w:r>
    </w:p>
    <w:p>
      <w:pPr>
        <w:pStyle w:val="FirstParagraph"/>
      </w:pPr>
      <w:r>
        <w:t xml:space="preserve">A evolução das normas internacionais e nacionais de gestão de risco de crédito pressiona as instituições financeiras a abandonar sistemas de rating único e adotar arquiteturas mais granulares. As evidências apresentadas mostram que operações revolventes como cartões de crédito e limites de conta exibem padrões de inadimplência mais voláteis e elevados do que empréstimos a prazo fixo</w:t>
      </w:r>
      <w:hyperlink r:id="rId40">
        <w:r>
          <w:rPr>
            <w:rStyle w:val="Hyperlink"/>
          </w:rPr>
          <w:t xml:space="preserve">[16]</w:t>
        </w:r>
      </w:hyperlink>
      <w:r>
        <w:t xml:space="preserve">; portanto, exigem mecanismos diferenciados de medição do risco. O dual rating, ao separar PD e LGD, alinha‑se à IFRS 9 e à Resolução 4.966/2021, melhora a granularidade das estimativas, facilita a precificação e reforça a governança. Apesar de desafios de implementação, os benefícios estratégicos e regulatórios justificam a adoção gradual do modelo nos produtos analisados. Recomendamos que instituições iniciem projetos‑piloto para calibrar as escalas de rating, coletem dados históricos, invistam em modelagem analítica e treinem equipes para utilização e interpretação dos ratings. Essa transição posicionará os bancos para cumprir as exigências regulatórias de 2025 e melhorar a gestão de risco e a lucratividade.</w:t>
      </w:r>
    </w:p>
    <w:bookmarkEnd w:id="49"/>
    <w:bookmarkStart w:id="50" w:name="referências-references"/>
    <w:p>
      <w:pPr>
        <w:pStyle w:val="Heading2"/>
      </w:pPr>
      <w:r>
        <w:t xml:space="preserve">Referências / References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Basel Committee on Banking Supervision.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The Internal Ratings‑Based Approach: Supporting Document to the New Basel Capital Accord</w:t>
      </w:r>
      <w:r>
        <w:t xml:space="preserve">. Basel: Bank for International Settlements. [Sections about dual rating architecture and obligor vs. facility ratings]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International Accounting Standards Board (IASB).</w:t>
      </w:r>
      <w:r>
        <w:t xml:space="preserve"> </w:t>
      </w:r>
      <w:r>
        <w:t xml:space="preserve">(2014).</w:t>
      </w:r>
      <w:r>
        <w:t xml:space="preserve"> </w:t>
      </w:r>
      <w:r>
        <w:rPr>
          <w:i/>
          <w:iCs/>
        </w:rPr>
        <w:t xml:space="preserve">IFRS 9 – Financial Instruments</w:t>
      </w:r>
      <w:r>
        <w:t xml:space="preserve">. London: IFRS Foundation. [Paragraph B5.5.22 and guidance on rebutting the 30‑day presumption of significant increase in credit risk]</w:t>
      </w:r>
      <w:hyperlink r:id="rId29">
        <w:r>
          <w:rPr>
            <w:rStyle w:val="Hyperlink"/>
          </w:rPr>
          <w:t xml:space="preserve">[8]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Conselho Monetário Nacional (CMN).</w:t>
      </w:r>
      <w:r>
        <w:t xml:space="preserve"> </w:t>
      </w:r>
      <w:r>
        <w:t xml:space="preserve">(25 nov. 2021).</w:t>
      </w:r>
      <w:r>
        <w:t xml:space="preserve"> </w:t>
      </w:r>
      <w:r>
        <w:rPr>
          <w:i/>
          <w:iCs/>
        </w:rPr>
        <w:t xml:space="preserve">Resolução nº 4.966: Dispõe sobre critérios de classificação das operações de crédito, contabilidade de instrumentos financeiros e constituição de provisão para perdas esperadas</w:t>
      </w:r>
      <w:r>
        <w:t xml:space="preserve">. Brasília: Banco Central do Brasil. [Introdução do modelo de três estágios e obrigatoriedade de considerar informações razoáveis e sustentáveis para avaliar aumento significativo de risco]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Banco Central do Brasil.</w:t>
      </w:r>
      <w:r>
        <w:t xml:space="preserve"> </w:t>
      </w:r>
      <w:r>
        <w:t xml:space="preserve">(23 nov. 2023).</w:t>
      </w:r>
      <w:r>
        <w:t xml:space="preserve"> </w:t>
      </w:r>
      <w:r>
        <w:rPr>
          <w:i/>
          <w:iCs/>
        </w:rPr>
        <w:t xml:space="preserve">Resolução BCB nº 352: Dispõe sobre percentuais mínimos de provisão em instrumentos inadimplidos e classificação de carteiras</w:t>
      </w:r>
      <w:r>
        <w:t xml:space="preserve">. Brasília: Banco Central do Brasil. [Classificação das carteiras por tipo de garantia e percentuais de provisão]</w:t>
      </w:r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Office of the Comptroller of the Currency (OCC).</w:t>
      </w:r>
      <w:r>
        <w:t xml:space="preserve"> </w:t>
      </w:r>
      <w:r>
        <w:t xml:space="preserve">(2018).</w:t>
      </w:r>
      <w:r>
        <w:t xml:space="preserve"> </w:t>
      </w:r>
      <w:r>
        <w:rPr>
          <w:i/>
          <w:iCs/>
        </w:rPr>
        <w:t xml:space="preserve">Rating Credit Risk: Comptroller’s Handbook</w:t>
      </w:r>
      <w:r>
        <w:t xml:space="preserve">. Washington, DC: U.S. Department of the Treasury. [Definição e justificativa de sistemas de dual rating]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Risk Management Association (RMA).</w:t>
      </w:r>
      <w:r>
        <w:t xml:space="preserve"> </w:t>
      </w:r>
      <w:r>
        <w:t xml:space="preserve">(30 jun. 2020).</w:t>
      </w:r>
      <w:r>
        <w:t xml:space="preserve"> </w:t>
      </w:r>
      <w:r>
        <w:rPr>
          <w:i/>
          <w:iCs/>
        </w:rPr>
        <w:t xml:space="preserve">Single vs. Dual Risk Rating: Key Differences Explained</w:t>
      </w:r>
      <w:r>
        <w:t xml:space="preserve">. RMA Blog. [Características de sistemas de rating único e dual, escalas PD × LGD e benefícios de granularidade]</w:t>
      </w:r>
      <w:hyperlink r:id="rId36">
        <w:r>
          <w:rPr>
            <w:rStyle w:val="Hyperlink"/>
          </w:rPr>
          <w:t xml:space="preserve">[23]</w:t>
        </w:r>
      </w:hyperlink>
      <w:hyperlink r:id="rId47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Moody’s Analytics.</w:t>
      </w:r>
      <w:r>
        <w:t xml:space="preserve"> </w:t>
      </w:r>
      <w:r>
        <w:t xml:space="preserve">(ago. 2020).</w:t>
      </w:r>
      <w:r>
        <w:t xml:space="preserve"> </w:t>
      </w:r>
      <w:r>
        <w:rPr>
          <w:i/>
          <w:iCs/>
        </w:rPr>
        <w:t xml:space="preserve">Ratings and CECL in Times of Stress: Incorporating Market Conditions into Commercial Loan Risk Ratings and the Allowance Process</w:t>
      </w:r>
      <w:r>
        <w:t xml:space="preserve">. Apresentação. [Evolução de sistemas de rating, adoção de dual rating em bancos &gt; US$ 25 bi e vantagens de granularidade]</w:t>
      </w:r>
      <w:hyperlink r:id="rId26">
        <w:r>
          <w:rPr>
            <w:rStyle w:val="Hyperlink"/>
          </w:rPr>
          <w:t xml:space="preserve">[6]</w:t>
        </w:r>
      </w:hyperlink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Oliveira, N. G., &amp; Lumertz, J. A.</w:t>
      </w:r>
      <w:r>
        <w:t xml:space="preserve"> </w:t>
      </w:r>
      <w:r>
        <w:t xml:space="preserve">(2023).</w:t>
      </w:r>
      <w:r>
        <w:t xml:space="preserve"> </w:t>
      </w:r>
      <w:r>
        <w:rPr>
          <w:i/>
          <w:iCs/>
        </w:rPr>
        <w:t xml:space="preserve">Metodologia de cálculo da provisão para perdas esperadas segundo a Resolução CMN nº 4.966/2021 sobre o risco de crédito</w:t>
      </w:r>
      <w:r>
        <w:t xml:space="preserve">. Universidade Federal do Rio Grande do Sul. [Discussão sobre implementação da Resolução 4.966 e desafios na estimativa de PD lifetime]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Federal Reserve Bank of New York.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A Note on Recent Dynamics of Consumer Delinquency Rates: Accessible Data</w:t>
      </w:r>
      <w:r>
        <w:t xml:space="preserve">. Board of Governors of the Federal Reserve System. [Série histórica de taxas de inadimplência trimestrais de cartões de crédito e empréstimos para automóveis]</w:t>
      </w:r>
      <w:hyperlink r:id="rId40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001211210.pdf</w:t>
      </w:r>
    </w:p>
    <w:p>
      <w:pPr>
        <w:pStyle w:val="BodyText"/>
      </w:pPr>
      <w:hyperlink r:id="rId53">
        <w:r>
          <w:rPr>
            <w:rStyle w:val="Hyperlink"/>
          </w:rPr>
          <w:t xml:space="preserve">https://lume.ufrgs.br/bitstream/handle/10183/279245/001211210.pdf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The Internal Ratings-Based Approach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https://www.bis.org/publ/bcbsca05.pdf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Rating Credit Risk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https://www.ots.treas.gov/publications-and-resources/publications/comptrollers-handbook/files/rating-credit-risk/pub-ch-rating-credit-risk.pdf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hyperlink r:id="rId3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Single vs. Dual Risk Rating: Key Differences Explained | RMA Blog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https://www.rmahq.org/blogs/2020/single-vs-dual-risk-rating-key-differences-explained/?gmssopc=1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PowerPoint Presentation</w:t>
      </w:r>
    </w:p>
    <w:p>
      <w:pPr>
        <w:pStyle w:val="BodyText"/>
      </w:pPr>
      <w:hyperlink r:id="rId56">
        <w:r>
          <w:rPr>
            <w:rStyle w:val="Hyperlink"/>
          </w:rPr>
          <w:t xml:space="preserve">https://ma.moodys.com/rs/961-KCJ-308/images/Ratings%20and%20CECL%20in%20Times%20of%20Stress%20v4.pdf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IFRS 9 Financial Instruments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https://www.ifrs.org/content/dam/ifrs/publications/pdf-standards/english/2021/issued/part-a/ifrs-9-financial-instruments.pdf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IFRS 9 impairment: significant increase in credit risk: PwC In depth INT2018-04</w:t>
      </w:r>
      <w:r>
        <w:t xml:space="preserve"> 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https://www.pwc.com.au/assurance/ifrs/assets/ifrs9-impairment-significant-increase-in-credit-risk%E2%80%93questions-and-answers.pdf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Federal Reserve Board - A Note on Recent Dynamics of Consumer Delinquency Rates, Accessible Data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https://www.federalreserve.gov/econres/notes/feds-notes/a-note-on-recent-dynamics-of-consumer-delinquency-rates-accessible-20251124.htm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lume.ufrgs.br/bitstream/handle/10183/279245/001211210.pdf" TargetMode="External" /><Relationship Type="http://schemas.openxmlformats.org/officeDocument/2006/relationships/hyperlink" Id="rId33" Target="https://lume.ufrgs.br/bitstream/handle/10183/279245/001211210.pdf#:~:text=4" TargetMode="External" /><Relationship Type="http://schemas.openxmlformats.org/officeDocument/2006/relationships/hyperlink" Id="rId34" Target="https://lume.ufrgs.br/bitstream/handle/10183/279245/001211210.pdf#:~:text=A%20Resolu%C3%A7%C3%A3o%20BCB%20n%C2%BA%20352,os%20n%C3%ADveis%20de%20atraso%20incorridos" TargetMode="External" /><Relationship Type="http://schemas.openxmlformats.org/officeDocument/2006/relationships/hyperlink" Id="rId32" Target="https://lume.ufrgs.br/bitstream/handle/10183/279245/001211210.pdf#:~:text=Ao%20contr%C3%A1rio%20do%20que%20determina,aspectos%20relevantes%20da%20contraparte%2C%20como" TargetMode="External" /><Relationship Type="http://schemas.openxmlformats.org/officeDocument/2006/relationships/hyperlink" Id="rId22" Target="https://lume.ufrgs.br/bitstream/handle/10183/279245/001211210.pdf#:~:text=Ao%20contr%C3%A1rio%20do%20que%20determina,que%20o%20instrumento%20est%C3%A1%20alocado" TargetMode="External" /><Relationship Type="http://schemas.openxmlformats.org/officeDocument/2006/relationships/hyperlink" Id="rId42" Target="https://lume.ufrgs.br/bitstream/handle/10183/279245/001211210.pdf#:~:text=included%20the%20practical%20implementation%20of,tools%20to%20ensure%20accurate%20calculation" TargetMode="External" /><Relationship Type="http://schemas.openxmlformats.org/officeDocument/2006/relationships/hyperlink" Id="rId56" Target="https://ma.moodys.com/rs/961-KCJ-308/images/Ratings%20and%20CECL%20in%20Times%20of%20Stress%20v4.pdf" TargetMode="External" /><Relationship Type="http://schemas.openxmlformats.org/officeDocument/2006/relationships/hyperlink" Id="rId37" Target="https://ma.moodys.com/rs/961-KCJ-308/images/Ratings%20and%20CECL%20in%20Times%20of%20Stress%20v4.pdf#:~:text=Ratings%20and%20CECL%20in%20Times,25bn%20%C2%BB%20Delivers%20most%20granular" TargetMode="External" /><Relationship Type="http://schemas.openxmlformats.org/officeDocument/2006/relationships/hyperlink" Id="rId26" Target="https://ma.moodys.com/rs/961-KCJ-308/images/Ratings%20and%20CECL%20in%20Times%20of%20Stress%20v4.pdf#:~:text=Ratings%20and%20CECL%20in%20Times,most%20granular%20picture%20of%20risk" TargetMode="External" /><Relationship Type="http://schemas.openxmlformats.org/officeDocument/2006/relationships/hyperlink" Id="rId38" Target="https://ma.moodys.com/rs/961-KCJ-308/images/Ratings%20and%20CECL%20in%20Times%20of%20Stress%20v4.pdf#:~:text=Ratings%20and%20CECL%20in%20Times,pass%20grades%20delivers%20business%20value" TargetMode="External" /><Relationship Type="http://schemas.openxmlformats.org/officeDocument/2006/relationships/hyperlink" Id="rId45" Target="https://www.bis.org/publ/bcbsca05.pdf" TargetMode="External" /><Relationship Type="http://schemas.openxmlformats.org/officeDocument/2006/relationships/hyperlink" Id="rId28" Target="https://www.bis.org/publ/bcbsca05.pdf#:~:text=B,characteristics%20in%20their%20grading%20processes" TargetMode="External" /><Relationship Type="http://schemas.openxmlformats.org/officeDocument/2006/relationships/hyperlink" Id="rId23" Target="https://www.bis.org/publ/bcbsca05.pdf#:~:text=B,the%20banks%20surveyed%20take%20no" TargetMode="External" /><Relationship Type="http://schemas.openxmlformats.org/officeDocument/2006/relationships/hyperlink" Id="rId59" Target="https://www.federalreserve.gov/econres/notes/feds-notes/a-note-on-recent-dynamics-of-consumer-delinquency-rates-accessible-20251124.htm" TargetMode="External" /><Relationship Type="http://schemas.openxmlformats.org/officeDocument/2006/relationships/hyperlink" Id="rId40" Target="https://www.federalreserve.gov/econres/notes/feds-notes/a-note-on-recent-dynamics-of-consumer-delinquency-rates-accessible-20251124.htm#:~:text=,and%20Auto%20Loan%20Delinquency%20Rates" TargetMode="External" /><Relationship Type="http://schemas.openxmlformats.org/officeDocument/2006/relationships/hyperlink" Id="rId41" Target="https://www.federalreserve.gov/econres/notes/feds-notes/a-note-on-recent-dynamics-of-consumer-delinquency-rates-accessible-20251124.htm#:~:text=9%2F30%2F2022%202,80" TargetMode="External" /><Relationship Type="http://schemas.openxmlformats.org/officeDocument/2006/relationships/hyperlink" Id="rId57" Target="https://www.ifrs.org/content/dam/ifrs/publications/pdf-standards/english/2021/issued/part-a/ifrs-9-financial-instruments.pdf" TargetMode="External" /><Relationship Type="http://schemas.openxmlformats.org/officeDocument/2006/relationships/hyperlink" Id="rId29" Target="https://www.ifrs.org/content/dam/ifrs/publications/pdf-standards/english/2021/issued/part-a/ifrs-9-financial-instruments.pdf#:~:text=recognition%20when%20contractual%20payments%20are,rebuttable%20presumption%20does%20not%20apply" TargetMode="External" /><Relationship Type="http://schemas.openxmlformats.org/officeDocument/2006/relationships/hyperlink" Id="rId54" Target="https://www.ots.treas.gov/publications-and-resources/publications/comptrollers-handbook/files/rating-credit-risk/pub-ch-rating-credit-risk.pdf" TargetMode="External" /><Relationship Type="http://schemas.openxmlformats.org/officeDocument/2006/relationships/hyperlink" Id="rId24" Target="https://www.ots.treas.gov/publications-and-resources/publications/comptrollers-handbook/files/rating-credit-risk/pub-ch-rating-credit-risk.pdf#:~:text=Dual%20Rating%20Systems%20In%20addition,typically%20assign%20a%20rating%20to" TargetMode="External" /><Relationship Type="http://schemas.openxmlformats.org/officeDocument/2006/relationships/hyperlink" Id="rId58" Target="https://www.pwc.com.au/assurance/ifrs/assets/ifrs9-impairment-significant-increase-in-credit-risk%E2%80%93questions-and-answers.pdf" TargetMode="External" /><Relationship Type="http://schemas.openxmlformats.org/officeDocument/2006/relationships/hyperlink" Id="rId30" Target="https://www.pwc.com.au/assurance/ifrs/assets/ifrs9-impairment-significant-increase-in-credit-risk%E2%80%93questions-and-answers.pdf#:~:text=weighted%20and%20their%20combined%20effect,19" TargetMode="External" /><Relationship Type="http://schemas.openxmlformats.org/officeDocument/2006/relationships/hyperlink" Id="rId55" Target="https://www.rmahq.org/blogs/2020/single-vs-dual-risk-rating-key-differences-explained/?gmssopc=1" TargetMode="External" /><Relationship Type="http://schemas.openxmlformats.org/officeDocument/2006/relationships/hyperlink" Id="rId25" Target="https://www.rmahq.org/blogs/2020/single-vs-dual-risk-rating-key-differences-explained/?gmssopc=1#:~:text=Dual%20Risk%20Rating%20Defining%20Characteristics" TargetMode="External" /><Relationship Type="http://schemas.openxmlformats.org/officeDocument/2006/relationships/hyperlink" Id="rId36" Target="https://www.rmahq.org/blogs/2020/single-vs-dual-risk-rating-key-differences-explained/?gmssopc=1#:~:text=Single%20Risk%20Rating%20Defining%20Characteristics" TargetMode="External" /><Relationship Type="http://schemas.openxmlformats.org/officeDocument/2006/relationships/hyperlink" Id="rId47" Target="https://www.rmahq.org/blogs/2020/single-vs-dual-risk-rating-key-differences-explained/?gmssopc=1#:~:text=Why%20the%20Time%20is%20Right,for%20Dual%20Risk%20Ra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lume.ufrgs.br/bitstream/handle/10183/279245/001211210.pdf" TargetMode="External" /><Relationship Type="http://schemas.openxmlformats.org/officeDocument/2006/relationships/hyperlink" Id="rId33" Target="https://lume.ufrgs.br/bitstream/handle/10183/279245/001211210.pdf#:~:text=4" TargetMode="External" /><Relationship Type="http://schemas.openxmlformats.org/officeDocument/2006/relationships/hyperlink" Id="rId34" Target="https://lume.ufrgs.br/bitstream/handle/10183/279245/001211210.pdf#:~:text=A%20Resolu%C3%A7%C3%A3o%20BCB%20n%C2%BA%20352,os%20n%C3%ADveis%20de%20atraso%20incorridos" TargetMode="External" /><Relationship Type="http://schemas.openxmlformats.org/officeDocument/2006/relationships/hyperlink" Id="rId32" Target="https://lume.ufrgs.br/bitstream/handle/10183/279245/001211210.pdf#:~:text=Ao%20contr%C3%A1rio%20do%20que%20determina,aspectos%20relevantes%20da%20contraparte%2C%20como" TargetMode="External" /><Relationship Type="http://schemas.openxmlformats.org/officeDocument/2006/relationships/hyperlink" Id="rId22" Target="https://lume.ufrgs.br/bitstream/handle/10183/279245/001211210.pdf#:~:text=Ao%20contr%C3%A1rio%20do%20que%20determina,que%20o%20instrumento%20est%C3%A1%20alocado" TargetMode="External" /><Relationship Type="http://schemas.openxmlformats.org/officeDocument/2006/relationships/hyperlink" Id="rId42" Target="https://lume.ufrgs.br/bitstream/handle/10183/279245/001211210.pdf#:~:text=included%20the%20practical%20implementation%20of,tools%20to%20ensure%20accurate%20calculation" TargetMode="External" /><Relationship Type="http://schemas.openxmlformats.org/officeDocument/2006/relationships/hyperlink" Id="rId56" Target="https://ma.moodys.com/rs/961-KCJ-308/images/Ratings%20and%20CECL%20in%20Times%20of%20Stress%20v4.pdf" TargetMode="External" /><Relationship Type="http://schemas.openxmlformats.org/officeDocument/2006/relationships/hyperlink" Id="rId37" Target="https://ma.moodys.com/rs/961-KCJ-308/images/Ratings%20and%20CECL%20in%20Times%20of%20Stress%20v4.pdf#:~:text=Ratings%20and%20CECL%20in%20Times,25bn%20%C2%BB%20Delivers%20most%20granular" TargetMode="External" /><Relationship Type="http://schemas.openxmlformats.org/officeDocument/2006/relationships/hyperlink" Id="rId26" Target="https://ma.moodys.com/rs/961-KCJ-308/images/Ratings%20and%20CECL%20in%20Times%20of%20Stress%20v4.pdf#:~:text=Ratings%20and%20CECL%20in%20Times,most%20granular%20picture%20of%20risk" TargetMode="External" /><Relationship Type="http://schemas.openxmlformats.org/officeDocument/2006/relationships/hyperlink" Id="rId38" Target="https://ma.moodys.com/rs/961-KCJ-308/images/Ratings%20and%20CECL%20in%20Times%20of%20Stress%20v4.pdf#:~:text=Ratings%20and%20CECL%20in%20Times,pass%20grades%20delivers%20business%20value" TargetMode="External" /><Relationship Type="http://schemas.openxmlformats.org/officeDocument/2006/relationships/hyperlink" Id="rId45" Target="https://www.bis.org/publ/bcbsca05.pdf" TargetMode="External" /><Relationship Type="http://schemas.openxmlformats.org/officeDocument/2006/relationships/hyperlink" Id="rId28" Target="https://www.bis.org/publ/bcbsca05.pdf#:~:text=B,characteristics%20in%20their%20grading%20processes" TargetMode="External" /><Relationship Type="http://schemas.openxmlformats.org/officeDocument/2006/relationships/hyperlink" Id="rId23" Target="https://www.bis.org/publ/bcbsca05.pdf#:~:text=B,the%20banks%20surveyed%20take%20no" TargetMode="External" /><Relationship Type="http://schemas.openxmlformats.org/officeDocument/2006/relationships/hyperlink" Id="rId59" Target="https://www.federalreserve.gov/econres/notes/feds-notes/a-note-on-recent-dynamics-of-consumer-delinquency-rates-accessible-20251124.htm" TargetMode="External" /><Relationship Type="http://schemas.openxmlformats.org/officeDocument/2006/relationships/hyperlink" Id="rId40" Target="https://www.federalreserve.gov/econres/notes/feds-notes/a-note-on-recent-dynamics-of-consumer-delinquency-rates-accessible-20251124.htm#:~:text=,and%20Auto%20Loan%20Delinquency%20Rates" TargetMode="External" /><Relationship Type="http://schemas.openxmlformats.org/officeDocument/2006/relationships/hyperlink" Id="rId41" Target="https://www.federalreserve.gov/econres/notes/feds-notes/a-note-on-recent-dynamics-of-consumer-delinquency-rates-accessible-20251124.htm#:~:text=9%2F30%2F2022%202,80" TargetMode="External" /><Relationship Type="http://schemas.openxmlformats.org/officeDocument/2006/relationships/hyperlink" Id="rId57" Target="https://www.ifrs.org/content/dam/ifrs/publications/pdf-standards/english/2021/issued/part-a/ifrs-9-financial-instruments.pdf" TargetMode="External" /><Relationship Type="http://schemas.openxmlformats.org/officeDocument/2006/relationships/hyperlink" Id="rId29" Target="https://www.ifrs.org/content/dam/ifrs/publications/pdf-standards/english/2021/issued/part-a/ifrs-9-financial-instruments.pdf#:~:text=recognition%20when%20contractual%20payments%20are,rebuttable%20presumption%20does%20not%20apply" TargetMode="External" /><Relationship Type="http://schemas.openxmlformats.org/officeDocument/2006/relationships/hyperlink" Id="rId54" Target="https://www.ots.treas.gov/publications-and-resources/publications/comptrollers-handbook/files/rating-credit-risk/pub-ch-rating-credit-risk.pdf" TargetMode="External" /><Relationship Type="http://schemas.openxmlformats.org/officeDocument/2006/relationships/hyperlink" Id="rId24" Target="https://www.ots.treas.gov/publications-and-resources/publications/comptrollers-handbook/files/rating-credit-risk/pub-ch-rating-credit-risk.pdf#:~:text=Dual%20Rating%20Systems%20In%20addition,typically%20assign%20a%20rating%20to" TargetMode="External" /><Relationship Type="http://schemas.openxmlformats.org/officeDocument/2006/relationships/hyperlink" Id="rId58" Target="https://www.pwc.com.au/assurance/ifrs/assets/ifrs9-impairment-significant-increase-in-credit-risk%E2%80%93questions-and-answers.pdf" TargetMode="External" /><Relationship Type="http://schemas.openxmlformats.org/officeDocument/2006/relationships/hyperlink" Id="rId30" Target="https://www.pwc.com.au/assurance/ifrs/assets/ifrs9-impairment-significant-increase-in-credit-risk%E2%80%93questions-and-answers.pdf#:~:text=weighted%20and%20their%20combined%20effect,19" TargetMode="External" /><Relationship Type="http://schemas.openxmlformats.org/officeDocument/2006/relationships/hyperlink" Id="rId55" Target="https://www.rmahq.org/blogs/2020/single-vs-dual-risk-rating-key-differences-explained/?gmssopc=1" TargetMode="External" /><Relationship Type="http://schemas.openxmlformats.org/officeDocument/2006/relationships/hyperlink" Id="rId25" Target="https://www.rmahq.org/blogs/2020/single-vs-dual-risk-rating-key-differences-explained/?gmssopc=1#:~:text=Dual%20Risk%20Rating%20Defining%20Characteristics" TargetMode="External" /><Relationship Type="http://schemas.openxmlformats.org/officeDocument/2006/relationships/hyperlink" Id="rId36" Target="https://www.rmahq.org/blogs/2020/single-vs-dual-risk-rating-key-differences-explained/?gmssopc=1#:~:text=Single%20Risk%20Rating%20Defining%20Characteristics" TargetMode="External" /><Relationship Type="http://schemas.openxmlformats.org/officeDocument/2006/relationships/hyperlink" Id="rId47" Target="https://www.rmahq.org/blogs/2020/single-vs-dual-risk-rating-key-differences-explained/?gmssopc=1#:~:text=Why%20the%20Time%20is%20Right,for%20Dual%20Risk%20Ra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2026-02-14T05:07:29Z</dcterms:created>
  <dcterms:modified xsi:type="dcterms:W3CDTF">2026-02-14T05:07:29Z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