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profesional financieramente estable busca invertir su capital (J02) y es atraído por un proyecto con una fuerte propuesta de estilo de vida (J06), lo que lo lleva a una compra que satisface tanto sus metas patrimoniales como sus aspiraciones personales, a pesar de enfrentar serias fricciones en la gestión post-venta.</w:t>
      </w:r>
    </w:p>
    <w:p>
      <w:pPr>
        <w:pStyle w:val="Heading1"/>
      </w:pPr>
      <w:r>
        <w:t>Historia Causal</w:t>
      </w:r>
    </w:p>
    <w:p>
      <w:pPr>
        <w:pStyle w:val="Heading2"/>
      </w:pPr>
      <w:r>
        <w:t>Contexto Previo</w:t>
      </w:r>
    </w:p>
    <w:p>
      <w:r>
        <w:t>Cliente vive con sus padres en un departamento propio en Santanita. Tiene una situación económica estable, sin deudas y con capacidad de inversión. No tiene ninguna necesidad o urgencia de mudarse.</w:t>
      </w:r>
    </w:p>
    <w:p>
      <w:pPr>
        <w:pStyle w:val="Heading2"/>
      </w:pPr>
      <w:r>
        <w:t>Tension Acumulada</w:t>
      </w:r>
    </w:p>
    <w:p>
      <w:r>
        <w:t>La conciencia de tener un capital o excedente de dinero sin generar rentabilidad, lo que representa un costo de oportunidad. Había estado buscando opciones de forma pasiva durante 2-3 años.</w:t>
      </w:r>
    </w:p>
    <w:p>
      <w:pPr>
        <w:pStyle w:val="Heading2"/>
      </w:pPr>
      <w:r>
        <w:t>Bloqueadores</w:t>
      </w:r>
    </w:p>
    <w:p>
      <w:r>
        <w:t>Búsqueda pasiva y poco motivada, ya que ninguna opción en el mercado había logrado captar su interés de manera significativa.</w:t>
      </w:r>
    </w:p>
    <w:p>
      <w:pPr>
        <w:pStyle w:val="Heading2"/>
      </w:pPr>
      <w:r>
        <w:t>Eventos Habilitadores</w:t>
      </w:r>
    </w:p>
    <w:p>
      <w:r>
        <w:t>Disponibilidad de capital para la cuota inicial y una situación financiera sólida que le permite acceder a créditos hipotecarios y esperar por un proyecto en preventa.</w:t>
      </w:r>
    </w:p>
    <w:p>
      <w:pPr>
        <w:pStyle w:val="Heading2"/>
      </w:pPr>
      <w:r>
        <w:t>Switching Trigger</w:t>
      </w:r>
    </w:p>
    <w:p>
      <w:r>
        <w:t>Ver una publicidad del proyecto WOW en redes sociales que destacaba el 'concepto de club' con canchas de tenis y un edificio de baja altura, lo que se alineaba perfectamente con sus intereses y criterios personales, moviéndolo de una búsqueda pasiva a una acción concreta.</w:t>
      </w:r>
    </w:p>
    <w:p>
      <w:pPr>
        <w:pStyle w:val="Heading2"/>
      </w:pPr>
      <w:r>
        <w:t>Momento De Decision</w:t>
      </w:r>
    </w:p>
    <w:p>
      <w:r>
        <w:t>La decisión fue rápida. Tras la visita, se convenció del concepto y, presionado por el vendedor, firmó la minuta y pagó la inicial en un plazo de una a dos semanas.</w:t>
      </w:r>
    </w:p>
    <w:p>
      <w:pPr>
        <w:pStyle w:val="Heading1"/>
      </w:pPr>
      <w:r>
        <w:t>Contexto Activador</w:t>
      </w:r>
    </w:p>
    <w:p>
      <w:pPr>
        <w:pStyle w:val="Heading2"/>
      </w:pPr>
      <w:r>
        <w:t>Marco General</w:t>
      </w:r>
    </w:p>
    <w:p>
      <w:r>
        <w:t>Profesional joven con estabilidad financiera y capital disponible para invertir, que vive cómodamente con su familia y no tiene una necesidad habitacional inmediata. Su estilo de vida activo (practica tenis) y sus preferencias claras sobre el tipo de edificación (no más de 10 pisos) condicionan fuertemente su elección final.</w:t>
      </w:r>
    </w:p>
    <w:p>
      <w:pPr>
        <w:pStyle w:val="Heading1"/>
      </w:pPr>
      <w:r>
        <w:t>Logica De Demanda</w:t>
      </w:r>
    </w:p>
    <w:p>
      <w:pPr>
        <w:pStyle w:val="Heading2"/>
      </w:pPr>
      <w:r>
        <w:t>Desired Outcome</w:t>
      </w:r>
    </w:p>
    <w:p>
      <w:r>
        <w:t>Asegurar un activo que proteja y haga crecer su patrimonio, y que adicionalmente le ofrezca la posibilidad de un estilo de vida superior en el futuro.</w:t>
      </w:r>
    </w:p>
    <w:p>
      <w:pPr>
        <w:pStyle w:val="Heading2"/>
      </w:pPr>
      <w:r>
        <w:t>Job Statement</w:t>
      </w:r>
    </w:p>
    <w:p>
      <w:r>
        <w:t>Cuando tengo un capital que no está generando rendimientos, quiero encontrar una oportunidad de inversión inmobiliaria para asegurar mi futuro financiero y, si es posible, que también se alinee con mis aspiraciones de estilo de vida.</w:t>
      </w:r>
    </w:p>
    <w:p>
      <w:pPr>
        <w:pStyle w:val="Heading2"/>
      </w:pPr>
      <w:r>
        <w:t>Job Dominante Narrativo</w:t>
      </w:r>
    </w:p>
    <w:p>
      <w:r>
        <w:t>El cliente está intentando colocar su dinero en un activo rentable y seguro para no perder poder adquisitivo y construir patrimonio a largo plazo.</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concepto de 'club' con canchas de tenis, edificio de máximo 10 pisos, y una tipología flexible (1 dormitorio + flex) de al menos 60m2.</w:t>
      </w:r>
    </w:p>
    <w:p>
      <w:pPr>
        <w:pStyle w:val="Heading2"/>
      </w:pPr>
      <w:r>
        <w:t>Firing Criteria</w:t>
      </w:r>
    </w:p>
    <w:p>
      <w:r>
        <w:t>Edificios de más de 10 pisos, proyectos sin un concepto diferenciador, y zonas como Miraflores percibidas como de menor valor por metro cuadrado.</w:t>
      </w:r>
    </w:p>
    <w:p>
      <w:pPr>
        <w:pStyle w:val="Heading2"/>
      </w:pPr>
      <w:r>
        <w:t>Trade Offs Reales</w:t>
      </w:r>
    </w:p>
    <w:p>
      <w:r>
        <w:t>Aceptó acabados de calidad estándar ('materiales simples'), soportó un proceso de venta y post-venta desorganizado y con alta fricción, y asumió la incertidumbre de cambios en la estructura legal del proyecto (de fideicomiso a razón social).</w:t>
      </w:r>
    </w:p>
    <w:p>
      <w:pPr>
        <w:pStyle w:val="Heading2"/>
      </w:pPr>
      <w:r>
        <w:t>Factores De Confianza</w:t>
      </w:r>
    </w:p>
    <w:p>
      <w:r>
        <w:t>Inicialmente, la fortaleza del concepto del proyecto. Posteriormente, esta confianza se erosionó y tuvo que depender de la información proporcionada por el banco en lugar de la inmobiliaria.</w:t>
      </w:r>
    </w:p>
    <w:p>
      <w:pPr>
        <w:pStyle w:val="Heading2"/>
      </w:pPr>
      <w:r>
        <w:t>Reduccion De Riesgo</w:t>
      </w:r>
    </w:p>
    <w:p>
      <w:r>
        <w:t>La percepción inicial de seguridad por la estructura de fideicomiso, aunque esto cambió. La principal mitigación de riesgo ahora es la reputación de la inmobiliaria y el inicio de la construcción.</w:t>
      </w:r>
    </w:p>
    <w:p>
      <w:pPr>
        <w:pStyle w:val="Heading1"/>
      </w:pPr>
      <w:r>
        <w:t>Evidencia De Fit</w:t>
      </w:r>
    </w:p>
    <w:p>
      <w:pPr>
        <w:pStyle w:val="Heading2"/>
      </w:pPr>
      <w:r>
        <w:t>Atributos Que Activaron Fit</w:t>
      </w:r>
    </w:p>
    <w:p>
      <w:r>
        <w:t>El concepto de club, las canchas de tenis, la piscina, los parques y áreas de juegos, el cine y el gimnasio. La estructura de baja altura del edificio fue un factor clave.</w:t>
      </w:r>
    </w:p>
    <w:p>
      <w:pPr>
        <w:pStyle w:val="Heading2"/>
      </w:pPr>
      <w:r>
        <w:t>Atributos Secundarios</w:t>
      </w:r>
    </w:p>
    <w:p>
      <w:r>
        <w:t>La cercanía al trabajo, que el cliente calificó como una simple coincidencia y no un factor de decisión.</w:t>
      </w:r>
    </w:p>
    <w:p>
      <w:pPr>
        <w:pStyle w:val="Heading2"/>
      </w:pPr>
      <w:r>
        <w:t>Alternativas Descartadas</w:t>
      </w:r>
    </w:p>
    <w:p>
      <w:r>
        <w:t>Proyectos en San Borja y cerca al Puente Primavera. Fueron descartados porque no ofrecían un concepto comparable al de WOW.</w:t>
      </w:r>
    </w:p>
    <w:p>
      <w:pPr>
        <w:pStyle w:val="Heading1"/>
      </w:pPr>
      <w:r>
        <w:t>Estado Post Compra</w:t>
      </w:r>
    </w:p>
    <w:p>
      <w:pPr>
        <w:pStyle w:val="Heading2"/>
      </w:pPr>
      <w:r>
        <w:t>Nivel De Satisfaccion</w:t>
      </w:r>
    </w:p>
    <w:p>
      <w:r>
        <w:t>Dual: Muy alta con el concepto del proyecto, pero baja (califica con un 6/10, neutral) con la atención al cliente y la gestión post-venta.</w:t>
      </w:r>
    </w:p>
    <w:p>
      <w:pPr>
        <w:pStyle w:val="Heading2"/>
      </w:pPr>
      <w:r>
        <w:t>Reservas</w:t>
      </w:r>
    </w:p>
    <w:p>
      <w:r>
        <w:t>La calidad de los acabados es básica. Siente que nuevos clientes obtuvieron mejores condiciones (ej. domótica) por un precio similar, a pesar de que él invirtió su dinero mucho antes.</w:t>
      </w:r>
    </w:p>
    <w:p>
      <w:pPr>
        <w:pStyle w:val="Heading2"/>
      </w:pPr>
      <w:r>
        <w:t>Fricciones Pendientes</w:t>
      </w:r>
    </w:p>
    <w:p>
      <w:r>
        <w:t>Un año de incomunicación por un error en su correo, cambio constante de asesores (4 hasta la fecha), canales de atención ineficaces, incertidumbre sobre la fecha de desembolso y la gestión pendiente de la compra de la cochera y el depósito.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