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inversor experimentado, con su necesidad de vivienda resuelta, aprovecha una oportunidad presentada por su banco para colocar capital en un activo inmobiliario que genere renta, eligiendo un proyecto por su potencial de negocio y sus atractivas amenidades.</w:t>
      </w:r>
    </w:p>
    <w:p>
      <w:pPr>
        <w:pStyle w:val="Heading1"/>
      </w:pPr>
      <w:r>
        <w:t>Historia Causal</w:t>
      </w:r>
    </w:p>
    <w:p>
      <w:pPr>
        <w:pStyle w:val="Heading2"/>
      </w:pPr>
      <w:r>
        <w:t>Contexto Previo</w:t>
      </w:r>
    </w:p>
    <w:p>
      <w:r>
        <w:t>El cliente vive cómodamente en una casa propia de tres pisos en Chorrillos con su madre. Tiene experiencia previa en la compra de departamentos con su familia y en proyectos de construcción, lo que le da un conocimiento técnico del sector.</w:t>
      </w:r>
    </w:p>
    <w:p>
      <w:pPr>
        <w:pStyle w:val="Heading2"/>
      </w:pPr>
      <w:r>
        <w:t>Tension Acumulada</w:t>
      </w:r>
    </w:p>
    <w:p>
      <w:r>
        <w:t>La conciencia de tener capital o acceso a crédito sin estar generando una rentabilidad. Es el costo de oportunidad de no tener el dinero 'circulando'.</w:t>
      </w:r>
    </w:p>
    <w:p>
      <w:pPr>
        <w:pStyle w:val="Heading2"/>
      </w:pPr>
      <w:r>
        <w:t>Bloqueadores</w:t>
      </w:r>
    </w:p>
    <w:p>
      <w:r>
        <w:t>No había una búsqueda activa. El cliente no tenía una necesidad habitacional que lo empujara a buscar. La acción dependía de que se presentara una oportunidad de inversión clara.</w:t>
      </w:r>
    </w:p>
    <w:p>
      <w:pPr>
        <w:pStyle w:val="Heading2"/>
      </w:pPr>
      <w:r>
        <w:t>Eventos Habilitadores</w:t>
      </w:r>
    </w:p>
    <w:p>
      <w:r>
        <w:t>Estaba en proceso de solicitar un préstamo significativo (200-300k USD) a su banco, BanBif, lo que demostraba su capacidad y disposición para invertir.</w:t>
      </w:r>
    </w:p>
    <w:p>
      <w:pPr>
        <w:pStyle w:val="Heading2"/>
      </w:pPr>
      <w:r>
        <w:t>Switching Trigger</w:t>
      </w:r>
    </w:p>
    <w:p>
      <w:r>
        <w:t>El banco no le aprueba el préstamo en efectivo que buscaba, pero como alternativa le ofrece un portafolio de proyectos inmobiliarios financiados por ellos. Esto canaliza su intención de inversión latente hacia una búsqueda activa de propiedades.</w:t>
      </w:r>
    </w:p>
    <w:p>
      <w:pPr>
        <w:pStyle w:val="Heading2"/>
      </w:pPr>
      <w:r>
        <w:t>Momento De Decision</w:t>
      </w:r>
    </w:p>
    <w:p>
      <w:r>
        <w:t>Tras evaluar las opciones del banco, elige WOW por su ubicación y precio. Visita el proyecto con su hermano (ingeniero civil), valida el atractivo de las áreas comunes (el club) y, a pesar de las fuertes objeciones al contrato, decide proceder con la compra debido al buen potencial de la inversión.</w:t>
      </w:r>
    </w:p>
    <w:p>
      <w:pPr>
        <w:pStyle w:val="Heading1"/>
      </w:pPr>
      <w:r>
        <w:t>Contexto Activador</w:t>
      </w:r>
    </w:p>
    <w:p>
      <w:pPr>
        <w:pStyle w:val="Heading2"/>
      </w:pPr>
      <w:r>
        <w:t>Marco General</w:t>
      </w:r>
    </w:p>
    <w:p>
      <w:r>
        <w:t>Individuo con solvencia económica y experiencia en el sector inmobiliario, cuya situación habitacional está completamente resuelta. Opera desde una lógica de inversor, buscando optimizar el rendimiento de su capital. Su sistema de vida es estable y no tiene ninguna urgencia funcional o familiar que motive una mudanza.</w:t>
      </w:r>
    </w:p>
    <w:p>
      <w:pPr>
        <w:pStyle w:val="Heading1"/>
      </w:pPr>
      <w:r>
        <w:t>Logica De Demanda</w:t>
      </w:r>
    </w:p>
    <w:p>
      <w:pPr>
        <w:pStyle w:val="Heading2"/>
      </w:pPr>
      <w:r>
        <w:t>Desired Outcome</w:t>
      </w:r>
    </w:p>
    <w:p>
      <w:r>
        <w:t>Hacer que mi capital trabaje para mí, generando ingresos pasivos a través de un activo inmobiliario seguro y rentable, con la flexibilidad de un posible uso personal a futuro.</w:t>
      </w:r>
    </w:p>
    <w:p>
      <w:pPr>
        <w:pStyle w:val="Heading2"/>
      </w:pPr>
      <w:r>
        <w:t>Job Statement</w:t>
      </w:r>
    </w:p>
    <w:p>
      <w:r>
        <w:t>Cuando busco oportunidades para invertir mi capital, quiero adquirir un departamento en una zona con alta demanda de alquiler, para generar un flujo de ingresos constante y proteger mi patrimonio.</w:t>
      </w:r>
    </w:p>
    <w:p>
      <w:pPr>
        <w:pStyle w:val="Heading2"/>
      </w:pPr>
      <w:r>
        <w:t>Job Dominante Narrativo</w:t>
      </w:r>
    </w:p>
    <w:p>
      <w:r>
        <w:t>El cliente está intentando convertir su capital disponible en un activo productivo que genere rentabilidad a través del alquiler, asegurando así su patrimonio y manteniendo la opcionalidad de uso futuro.</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Ubicación estratégica con potencial de alquiler (cercanía a universidades), precio competitivo dentro de su presupuesto de inversión, tipología de 2 dormitorios (60-70m²), y un fuerte atractivo en las áreas comunes (club, piscina, cine) que aumentan el valor percibido.</w:t>
      </w:r>
    </w:p>
    <w:p>
      <w:pPr>
        <w:pStyle w:val="Heading2"/>
      </w:pPr>
      <w:r>
        <w:t>Firing Criteria</w:t>
      </w:r>
    </w:p>
    <w:p>
      <w:r>
        <w:t>Proyectos con precios más elevados que no se ajustaban a su presupuesto de inversión (ej. San Isidro). Principalmente, un proceso de venta y un contrato percibidos como unilaterales y abusivos, que casi lo llevan a descartar la compra.</w:t>
      </w:r>
    </w:p>
    <w:p>
      <w:pPr>
        <w:pStyle w:val="Heading2"/>
      </w:pPr>
      <w:r>
        <w:t>Trade Offs Reales</w:t>
      </w:r>
    </w:p>
    <w:p>
      <w:r>
        <w:t>Aceptó un contrato inflexible y sin cláusulas de penalidad para el desarrollador, y toleró una comunicación post-venta deficiente, a cambio de asegurar lo que consideraba una buena oportunidad de inversión.</w:t>
      </w:r>
    </w:p>
    <w:p>
      <w:pPr>
        <w:pStyle w:val="Heading2"/>
      </w:pPr>
      <w:r>
        <w:t>Factores De Confianza</w:t>
      </w:r>
    </w:p>
    <w:p>
      <w:r>
        <w:t>La presentación inicial a través de su banco (BanBif) le dio un marco de legitimidad. Su propia experiencia y la de su familia (hermano ingeniero, hermana arquitecta) le dieron confianza para evaluar la propiedad técnicamente.</w:t>
      </w:r>
    </w:p>
    <w:p>
      <w:pPr>
        <w:pStyle w:val="Heading2"/>
      </w:pPr>
      <w:r>
        <w:t>Reduccion De Riesgo</w:t>
      </w:r>
    </w:p>
    <w:p>
      <w:r>
        <w:t>Intentó reducir el riesgo legal solicitando que su abogado revisara y modificara el contrato, pero la constructora se negó rotundamente, lo que aumentó su percepción de riesgo en lugar de reducirla. La decisión final se basó en la confianza en su propio juicio sobre la inversión.</w:t>
      </w:r>
    </w:p>
    <w:p>
      <w:pPr>
        <w:pStyle w:val="Heading1"/>
      </w:pPr>
      <w:r>
        <w:t>Evidencia De Fit</w:t>
      </w:r>
    </w:p>
    <w:p>
      <w:pPr>
        <w:pStyle w:val="Heading2"/>
      </w:pPr>
      <w:r>
        <w:t>Atributos Que Activaron Fit</w:t>
      </w:r>
    </w:p>
    <w:p>
      <w:r>
        <w:t>La combinación de ubicación, precio y tipología fue el fit inicial. Sin embargo, las amenidades tipo club fueron el gran diferenciador que no solo validó la inversión sino que creó un deseo secundario de vivir allí en el futuro.</w:t>
      </w:r>
    </w:p>
    <w:p>
      <w:pPr>
        <w:pStyle w:val="Heading2"/>
      </w:pPr>
      <w:r>
        <w:t>Atributos Secundarios</w:t>
      </w:r>
    </w:p>
    <w:p>
      <w:r>
        <w:t>La promesa de una futura conexión vial directa hacia la zona de El Polo.</w:t>
      </w:r>
    </w:p>
    <w:p>
      <w:pPr>
        <w:pStyle w:val="Heading2"/>
      </w:pPr>
      <w:r>
        <w:t>Alternativas Descartadas</w:t>
      </w:r>
    </w:p>
    <w:p>
      <w:r>
        <w:t>Un proyecto en Jesús María y otro en San Isidro, ambos ofrecidos por el mismo banco pero descartados por ser más caros. También menciona experiencias negativas con otras constructoras en el pasado.</w:t>
      </w:r>
    </w:p>
    <w:p>
      <w:pPr>
        <w:pStyle w:val="Heading1"/>
      </w:pPr>
      <w:r>
        <w:t>Estado Post Compra</w:t>
      </w:r>
    </w:p>
    <w:p>
      <w:pPr>
        <w:pStyle w:val="Heading2"/>
      </w:pPr>
      <w:r>
        <w:t>Nivel De Satisfaccion</w:t>
      </w:r>
    </w:p>
    <w:p>
      <w:r>
        <w:t>Ambivalente. Satisfecho con la propiedad como activo de inversión, pero muy insatisfecho y frustrado con el proceso de compra y la relación con la inmobiliaria.</w:t>
      </w:r>
    </w:p>
    <w:p>
      <w:pPr>
        <w:pStyle w:val="Heading2"/>
      </w:pPr>
      <w:r>
        <w:t>Reservas</w:t>
      </w:r>
    </w:p>
    <w:p>
      <w:r>
        <w:t>Profunda desconfianza hacia la constructora por la naturaleza del contrato, que percibe como unilateral y abusivo. Preocupación por la falta de penalidades en caso de retrasos en la entrega.</w:t>
      </w:r>
    </w:p>
    <w:p>
      <w:pPr>
        <w:pStyle w:val="Heading2"/>
      </w:pPr>
      <w:r>
        <w:t>Fricciones Pendientes</w:t>
      </w:r>
    </w:p>
    <w:p>
      <w:r>
        <w:t>Falta total de seguimiento proactivo por parte de la inmobiliaria. Incertidumbre sobre las fechas reales de inicio de obra y una sensación de desprotección como cliente.</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