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Cliente con capital de jubilación disponible invierte en un departamento, no por necesidad de vivienda, sino atraído por el estilo de vida de un proyecto que le presentó su hija, buscando asegurar su patrimonio con una opción flexible para el futuro.</w:t>
      </w:r>
    </w:p>
    <w:p>
      <w:pPr>
        <w:pStyle w:val="Heading1"/>
      </w:pPr>
      <w:r>
        <w:t>Historia Causal</w:t>
      </w:r>
    </w:p>
    <w:p>
      <w:pPr>
        <w:pStyle w:val="Heading2"/>
      </w:pPr>
      <w:r>
        <w:t>Contexto Previo</w:t>
      </w:r>
    </w:p>
    <w:p>
      <w:r>
        <w:t>Hombre de 66 años viviendo con su esposa en un departamento propio en Surco. Sin ninguna necesidad o urgencia de mudanza y en proceso de recibir sus fondos de jubilación.</w:t>
      </w:r>
    </w:p>
    <w:p>
      <w:pPr>
        <w:pStyle w:val="Heading2"/>
      </w:pPr>
      <w:r>
        <w:t>Tension Acumulada</w:t>
      </w:r>
    </w:p>
    <w:p>
      <w:r>
        <w:t>La conciencia de que recibiría un capital importante de su jubilación y la necesidad de invertirlo para que genere rentabilidad y no pierda valor con el tiempo, asegurando así su vejez.</w:t>
      </w:r>
    </w:p>
    <w:p>
      <w:pPr>
        <w:pStyle w:val="Heading2"/>
      </w:pPr>
      <w:r>
        <w:t>Bloqueadores</w:t>
      </w:r>
    </w:p>
    <w:p>
      <w:r>
        <w:t>Inexistencia de una búsqueda activa. El cliente estaba en un estado pasivo, sin un plan concreto de inversión inmobiliaria hasta que se le presentó la oportunidad.</w:t>
      </w:r>
    </w:p>
    <w:p>
      <w:pPr>
        <w:pStyle w:val="Heading2"/>
      </w:pPr>
      <w:r>
        <w:t>Eventos Habilitadores</w:t>
      </w:r>
    </w:p>
    <w:p>
      <w:r>
        <w:t>La inminente recepción de sus fondos de jubilación (AFP) y el hecho de que su hija, que trabajaba como agente inmobiliaria, le presentara una oportunidad de inversión concreta y atractiva.</w:t>
      </w:r>
    </w:p>
    <w:p>
      <w:pPr>
        <w:pStyle w:val="Heading2"/>
      </w:pPr>
      <w:r>
        <w:t>Switching Trigger</w:t>
      </w:r>
    </w:p>
    <w:p>
      <w:r>
        <w:t>La visita al proyecto WOW, recomendada por su hija. El 'enamoramiento' inmediato con el concepto del condominio y sus áreas comunes convirtió la idea latente de invertir en una acción de compra decidida.</w:t>
      </w:r>
    </w:p>
    <w:p>
      <w:pPr>
        <w:pStyle w:val="Heading2"/>
      </w:pPr>
      <w:r>
        <w:t>Momento De Decision</w:t>
      </w:r>
    </w:p>
    <w:p>
      <w:r>
        <w:t>La decisión fue muy rápida y emocional, descrita como 'amor a primera vista'. Visitó el proyecto, le gustó el concepto y decidió comprar sin comparar activamente con otras opciones inmobiliarias del mercado.</w:t>
      </w:r>
    </w:p>
    <w:p>
      <w:pPr>
        <w:pStyle w:val="Heading1"/>
      </w:pPr>
      <w:r>
        <w:t>Contexto Activador</w:t>
      </w:r>
    </w:p>
    <w:p>
      <w:pPr>
        <w:pStyle w:val="Heading2"/>
      </w:pPr>
      <w:r>
        <w:t>Marco General</w:t>
      </w:r>
    </w:p>
    <w:p>
      <w:r>
        <w:t>Hombre en transición a la jubilación, con capital disponible para invertir y sin urgencias habitacionales. Su sistema de vida es estable, viviendo con su esposa en una propiedad que ya poseen. La decisión de compra se activa por la necesidad de asegurar su patrimonio a largo plazo, influenciado por el consejo de su hija y la búsqueda de un estilo de vida deseable.</w:t>
      </w:r>
    </w:p>
    <w:p>
      <w:pPr>
        <w:pStyle w:val="Heading1"/>
      </w:pPr>
      <w:r>
        <w:t>Logica De Demanda</w:t>
      </w:r>
    </w:p>
    <w:p>
      <w:pPr>
        <w:pStyle w:val="Heading2"/>
      </w:pPr>
      <w:r>
        <w:t>Desired Outcome</w:t>
      </w:r>
    </w:p>
    <w:p>
      <w:r>
        <w:t>Asegurar y rentabilizar el capital de su jubilación a través de un activo tangible que ofrezca flexibilidad futura, ya sea como fuente de ingresos pasivos, una futura vivienda o un bien para su hija.</w:t>
      </w:r>
    </w:p>
    <w:p>
      <w:pPr>
        <w:pStyle w:val="Heading2"/>
      </w:pPr>
      <w:r>
        <w:t>Job Statement</w:t>
      </w:r>
    </w:p>
    <w:p>
      <w:r>
        <w:t>Cuando recibo el dinero de mi jubilación, quiero invertirlo en una propiedad con un gran estilo de vida para asegurar mi patrimonio y tener opciones flexibles para mi futuro.</w:t>
      </w:r>
    </w:p>
    <w:p>
      <w:pPr>
        <w:pStyle w:val="Heading2"/>
      </w:pPr>
      <w:r>
        <w:t>Job Dominante Narrativo</w:t>
      </w:r>
    </w:p>
    <w:p>
      <w:r>
        <w:t>El cliente busca transformar su capital de jubilación en un activo seguro y flexible, que no solo proteja su dinero sino que también represente un estilo de vida deseable y ofrezca opciones para el futuro, ya sea para renta o uso familiar.</w:t>
      </w:r>
    </w:p>
    <w:p>
      <w:pPr>
        <w:pStyle w:val="Heading2"/>
      </w:pPr>
      <w:r>
        <w:t>Job Dominante Canonico</w:t>
      </w:r>
    </w:p>
    <w:p>
      <w:r>
        <w:t>J02: Proteger y flexibilizar el patrimonio</w:t>
      </w:r>
    </w:p>
    <w:p>
      <w:pPr>
        <w:pStyle w:val="Heading2"/>
      </w:pPr>
      <w:r>
        <w:t>Job Secundario Canonico</w:t>
      </w:r>
    </w:p>
    <w:p>
      <w:r>
        <w:t>J06: Expresar identidad y coherencia personal</w:t>
      </w:r>
    </w:p>
    <w:p>
      <w:pPr>
        <w:pStyle w:val="Heading1"/>
      </w:pPr>
      <w:r>
        <w:t>Logica De Eleccion</w:t>
      </w:r>
    </w:p>
    <w:p>
      <w:pPr>
        <w:pStyle w:val="Heading2"/>
      </w:pPr>
      <w:r>
        <w:t>Hiring Criteria</w:t>
      </w:r>
    </w:p>
    <w:p>
      <w:r>
        <w:t>El concepto general del condominio, principalmente las áreas comunes (clubhouse, piscina temperada, cancha de tenis). La flexibilidad de la tipología (2 dormitorios + flex) y la ubicación estratégica cerca de la universidad para un potencial alquiler.</w:t>
      </w:r>
    </w:p>
    <w:p>
      <w:pPr>
        <w:pStyle w:val="Heading2"/>
      </w:pPr>
      <w:r>
        <w:t>Firing Criteria</w:t>
      </w:r>
    </w:p>
    <w:p>
      <w:r>
        <w:t>Proyectos con precios más elevados (como los ya terminados de la misma inmobiliaria) o con ubicaciones que consideraba menos céntricas o más tediosas para un posible uso personal.</w:t>
      </w:r>
    </w:p>
    <w:p>
      <w:pPr>
        <w:pStyle w:val="Heading2"/>
      </w:pPr>
      <w:r>
        <w:t>Trade Offs Reales</w:t>
      </w:r>
    </w:p>
    <w:p>
      <w:r>
        <w:t>Aceptó una ubicación que consideraba distante para sus traslados actuales. Toleró la incertidumbre de comprar en planos y los posteriores retrasos significativos en la construcción, además de no poder elegir un piso más alto como deseaba.</w:t>
      </w:r>
    </w:p>
    <w:p>
      <w:pPr>
        <w:pStyle w:val="Heading2"/>
      </w:pPr>
      <w:r>
        <w:t>Factores De Confianza</w:t>
      </w:r>
    </w:p>
    <w:p>
      <w:r>
        <w:t>La principal fuente de confianza fue su hija, quien trabajaba en el sector y le presentó el proyecto. La confianza inicial en la marca se vio fuertemente erosionada por la experiencia post-venta.</w:t>
      </w:r>
    </w:p>
    <w:p>
      <w:pPr>
        <w:pStyle w:val="Heading2"/>
      </w:pPr>
      <w:r>
        <w:t>Reduccion De Riesgo</w:t>
      </w:r>
    </w:p>
    <w:p>
      <w:r>
        <w:t>Inicialmente, el plan de pagos semestral y flexible para los primeros compradores redujo el riesgo financiero percibido. Sin embargo, los retrasos y la falta de construcción aumentaron drásticamente su percepción de riesgo post-compra.</w:t>
      </w:r>
    </w:p>
    <w:p>
      <w:pPr>
        <w:pStyle w:val="Heading1"/>
      </w:pPr>
      <w:r>
        <w:t>Evidencia De Fit</w:t>
      </w:r>
    </w:p>
    <w:p>
      <w:pPr>
        <w:pStyle w:val="Heading2"/>
      </w:pPr>
      <w:r>
        <w:t>Atributos Que Activaron Fit</w:t>
      </w:r>
    </w:p>
    <w:p>
      <w:r>
        <w:t>Las áreas comunes: el clubhouse, la piscina temperada, el gimnasio y la cancha de tenis. El concepto general del proyecto que evocaba un estilo de vida superior y placentero.</w:t>
      </w:r>
    </w:p>
    <w:p>
      <w:pPr>
        <w:pStyle w:val="Heading2"/>
      </w:pPr>
      <w:r>
        <w:t>Atributos Secundarios</w:t>
      </w:r>
    </w:p>
    <w:p>
      <w:r>
        <w:t>La distribución del departamento (2 dorm + flex) era adecuada pero no el factor principal. La ubicación en Surco era una zona conocida para él, pero no el driver de la compra.</w:t>
      </w:r>
    </w:p>
    <w:p>
      <w:pPr>
        <w:pStyle w:val="Heading2"/>
      </w:pPr>
      <w:r>
        <w:t>Alternativas Descartadas</w:t>
      </w:r>
    </w:p>
    <w:p>
      <w:r>
        <w:t>Consideró otras formas de inversión no inmobiliarias como la bolsa. Descartó activamente otros proyectos ya terminados de la misma inmobiliaria por ser más caros. No realizó una búsqueda activa de otros proyectos de la competencia.</w:t>
      </w:r>
    </w:p>
    <w:p>
      <w:pPr>
        <w:pStyle w:val="Heading1"/>
      </w:pPr>
      <w:r>
        <w:t>Estado Post Compra</w:t>
      </w:r>
    </w:p>
    <w:p>
      <w:pPr>
        <w:pStyle w:val="Heading2"/>
      </w:pPr>
      <w:r>
        <w:t>Nivel De Satisfaccion</w:t>
      </w:r>
    </w:p>
    <w:p>
      <w:r>
        <w:t>Bajo, debido a la experiencia post-venta. Describe el proceso como de 'incertidumbre' y 'constante malestar'. Aunque recomendaría un proyecto terminado de la marca, le resulta 'difícil' recomendar la compra en planos por su experiencia.</w:t>
      </w:r>
    </w:p>
    <w:p>
      <w:pPr>
        <w:pStyle w:val="Heading2"/>
      </w:pPr>
      <w:r>
        <w:t>Reservas</w:t>
      </w:r>
    </w:p>
    <w:p>
      <w:r>
        <w:t>La principal reserva es la desconfianza generada por los constantes retrasos en la construcción y la comunicación deficiente y no proactiva por parte de la inmobiliaria.</w:t>
      </w:r>
    </w:p>
    <w:p>
      <w:pPr>
        <w:pStyle w:val="Heading2"/>
      </w:pPr>
      <w:r>
        <w:t>Fricciones Pendientes</w:t>
      </w:r>
    </w:p>
    <w:p>
      <w:r>
        <w:t>La incertidumbre sobre la fecha final de entrega, la necesidad de firmar adendas para aplazar sus propios pagos debido a la falta de avance de obra, y una relación tensa con la empresa donde siente que debe 'amenazar' para obtener respuestas.</w:t>
      </w:r>
    </w:p>
    <w:p>
      <w:pPr>
        <w:pStyle w:val="Heading1"/>
      </w:pPr>
      <w:r>
        <w:t>Proyecto</w:t>
      </w:r>
    </w:p>
    <w:p>
      <w:r>
        <w:t>WOW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