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en proceso de reconfiguración decide vender su casa para mudarse a un departamento que se adapte mejor a su nueva dinámica, eligiendo un proyecto por su combinación de precio y áreas comunes orientadas a la vida familiar.</w:t>
      </w:r>
    </w:p>
    <w:p>
      <w:pPr>
        <w:pStyle w:val="Heading1"/>
      </w:pPr>
      <w:r>
        <w:t>Historia Causal</w:t>
      </w:r>
    </w:p>
    <w:p>
      <w:pPr>
        <w:pStyle w:val="Heading2"/>
      </w:pPr>
      <w:r>
        <w:t>Contexto Previo</w:t>
      </w:r>
    </w:p>
    <w:p>
      <w:r>
        <w:t>Familia (padres y dos hijos adultos) vive en una casa propia, cómoda y bien ubicada en Surco. Ya tienen experiencia en inversión inmobiliaria, habiendo comprado recientemente un local comercial para alquilar.</w:t>
      </w:r>
    </w:p>
    <w:p>
      <w:pPr>
        <w:pStyle w:val="Heading2"/>
      </w:pPr>
      <w:r>
        <w:t>Tension Acumulada</w:t>
      </w:r>
    </w:p>
    <w:p>
      <w:r>
        <w:t>La casa actual se vuelve grande o subutilizada a medida que los hijos crecen (uno ya se independizó). Surge la necesidad de encontrar una solución de vivienda para un hijo adulto y, posteriormente, de liquidar el activo de la casa para una vida más práctica y capitalizar la inversión.</w:t>
      </w:r>
    </w:p>
    <w:p>
      <w:pPr>
        <w:pStyle w:val="Heading2"/>
      </w:pPr>
      <w:r>
        <w:t>Bloqueadores</w:t>
      </w:r>
    </w:p>
    <w:p>
      <w:r>
        <w:t>El precio de proyectos ya terminados era un factor limitante. La búsqueda era más latente que activa hasta encontrar la oferta adecuada.</w:t>
      </w:r>
    </w:p>
    <w:p>
      <w:pPr>
        <w:pStyle w:val="Heading2"/>
      </w:pPr>
      <w:r>
        <w:t>Eventos Habilitadores</w:t>
      </w:r>
    </w:p>
    <w:p>
      <w:r>
        <w:t>Disponibilidad de capital, la decisión de poner en venta la casa familiar y la aparición de una oferta publicitaria atractiva en una zona de interés.</w:t>
      </w:r>
    </w:p>
    <w:p>
      <w:pPr>
        <w:pStyle w:val="Heading2"/>
      </w:pPr>
      <w:r>
        <w:t>Switching Trigger</w:t>
      </w:r>
    </w:p>
    <w:p>
      <w:r>
        <w:t>Ver una publicidad online del proyecto WOW que ofrecía un precio más competitivo y áreas comunes superiores a otras opciones, lo que activó una visita y decisión de compra inmediata.</w:t>
      </w:r>
    </w:p>
    <w:p>
      <w:pPr>
        <w:pStyle w:val="Heading2"/>
      </w:pPr>
      <w:r>
        <w:t>Momento De Decision</w:t>
      </w:r>
    </w:p>
    <w:p>
      <w:r>
        <w:t>La decisión fue extremadamente rápida y emocional. Visitaron el proyecto y lo compraron el mismo día 'sin dudar y sin pensarlo', apostando 'a ciegas' por la oportunidad percibida sin una investigación profunda.</w:t>
      </w:r>
    </w:p>
    <w:p>
      <w:pPr>
        <w:pStyle w:val="Heading1"/>
      </w:pPr>
      <w:r>
        <w:t>Contexto Activador</w:t>
      </w:r>
    </w:p>
    <w:p>
      <w:pPr>
        <w:pStyle w:val="Heading2"/>
      </w:pPr>
      <w:r>
        <w:t>Marco General</w:t>
      </w:r>
    </w:p>
    <w:p>
      <w:r>
        <w:t>Familia consolidada con hijos adultos en transición hacia la independencia, con capacidad de inversión y un sistema de vida arraigado en la zona. La decisión está condicionada por la necesidad de adaptar su vivienda a la nueva estructura familiar (downsizing) y optimizar sus activos, activándose solo cuando aparece una oferta que cumple con criterios funcionales y de precio muy específicos.</w:t>
      </w:r>
    </w:p>
    <w:p>
      <w:pPr>
        <w:pStyle w:val="Heading1"/>
      </w:pPr>
      <w:r>
        <w:t>Logica De Demanda</w:t>
      </w:r>
    </w:p>
    <w:p>
      <w:pPr>
        <w:pStyle w:val="Heading2"/>
      </w:pPr>
      <w:r>
        <w:t>Desired Outcome</w:t>
      </w:r>
    </w:p>
    <w:p>
      <w:r>
        <w:t>Reorganizar el patrimonio y la logística familiar en una nueva vivienda que mantenga a la familia unida, ofrezca comodidades para las actividades de los hijos y futuros nietos, y funcione como una inversión segura.</w:t>
      </w:r>
    </w:p>
    <w:p>
      <w:pPr>
        <w:pStyle w:val="Heading2"/>
      </w:pPr>
      <w:r>
        <w:t>Job Statement</w:t>
      </w:r>
    </w:p>
    <w:p>
      <w:r>
        <w:t>Cuando mi estructura familiar cambia y mi casa actual ya no es la óptima, quiero mudarme a un departamento más práctico para asegurar una solución de vivienda adecuada para los que quedamos y optimizar nuestro patrimonio.</w:t>
      </w:r>
    </w:p>
    <w:p>
      <w:pPr>
        <w:pStyle w:val="Heading2"/>
      </w:pPr>
      <w:r>
        <w:t>Job Dominante Narrativo</w:t>
      </w:r>
    </w:p>
    <w:p>
      <w:r>
        <w:t>La familia está intentando adaptarse a una nueva etapa de vida (hijos adultos, downsizing) reorganizando su principal activo (la casa) en una nueva propiedad que sirva como el nuevo centro de operaciones familiar.</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Precio competitivo, áreas comunes específicas (cancha de tenis para los hijos, piscina y juegos para futuros nietos), ubicación céntrica y tranquila, y una tipología flexible (2+flex) que se adapta a 3 dormitorios para toda la familia.</w:t>
      </w:r>
    </w:p>
    <w:p>
      <w:pPr>
        <w:pStyle w:val="Heading2"/>
      </w:pPr>
      <w:r>
        <w:t>Firing Criteria</w:t>
      </w:r>
    </w:p>
    <w:p>
      <w:r>
        <w:t>Precios más elevados (como en proyectos ya terminados), falta de áreas comunes atractivas para la dinámica familiar, o una mala distribución del espacio.</w:t>
      </w:r>
    </w:p>
    <w:p>
      <w:pPr>
        <w:pStyle w:val="Heading2"/>
      </w:pPr>
      <w:r>
        <w:t>Trade Offs Reales</w:t>
      </w:r>
    </w:p>
    <w:p>
      <w:r>
        <w:t>Sacrificaron la inmediatez de la entrega a cambio de un mejor precio. Realizaron una compra impulsiva sin una investigación profunda, asumiendo un riesgo mayor. Aceptaron la incertidumbre de un proyecto en planos.</w:t>
      </w:r>
    </w:p>
    <w:p>
      <w:pPr>
        <w:pStyle w:val="Heading2"/>
      </w:pPr>
      <w:r>
        <w:t>Factores De Confianza</w:t>
      </w:r>
    </w:p>
    <w:p>
      <w:r>
        <w:t>Inicialmente, la propuesta de valor del proyecto (precio y amenities) y la ubicación estratégica fueron suficientes para generar confianza. Sin embargo, esta confianza se ha erosionado gravemente en la post-venta.</w:t>
      </w:r>
    </w:p>
    <w:p>
      <w:pPr>
        <w:pStyle w:val="Heading2"/>
      </w:pPr>
      <w:r>
        <w:t>Reduccion De Riesgo</w:t>
      </w:r>
    </w:p>
    <w:p>
      <w:r>
        <w:t>La ubicación estratégica (cerca de futuro mall, supermercados, universidades) y la percepción de que es una buena inversión (con la opción de alquilar si no venden la casa) sirvieron para mitigar el riesgo de la compra impulsiva.</w:t>
      </w:r>
    </w:p>
    <w:p>
      <w:pPr>
        <w:pStyle w:val="Heading1"/>
      </w:pPr>
      <w:r>
        <w:t>Evidencia De Fit</w:t>
      </w:r>
    </w:p>
    <w:p>
      <w:pPr>
        <w:pStyle w:val="Heading2"/>
      </w:pPr>
      <w:r>
        <w:t>Atributos Que Activaron Fit</w:t>
      </w:r>
    </w:p>
    <w:p>
      <w:r>
        <w:t>La cancha de tenis para los hijos, la piscina y los juegos para los nietos, el precio más bajo en comparación con proyectos terminados, y la ubicación conveniente y con potencial de valorización.</w:t>
      </w:r>
    </w:p>
    <w:p>
      <w:pPr>
        <w:pStyle w:val="Heading2"/>
      </w:pPr>
      <w:r>
        <w:t>Atributos Secundarios</w:t>
      </w:r>
    </w:p>
    <w:p>
      <w:r>
        <w:t>La distribución exacta del departamento, ya que inicialmente no tenían claro si era un 2+flex o un 3 dormitorios formal.</w:t>
      </w:r>
    </w:p>
    <w:p>
      <w:pPr>
        <w:pStyle w:val="Heading2"/>
      </w:pPr>
      <w:r>
        <w:t>Alternativas Descartadas</w:t>
      </w:r>
    </w:p>
    <w:p>
      <w:r>
        <w:t>El proyecto 'Move' de la misma inmobiliaria (descartado por precio más alto). El proyecto donde compraron la tienda comercial (descartado para vivienda por precio y peores áreas comunes).</w:t>
      </w:r>
    </w:p>
    <w:p>
      <w:pPr>
        <w:pStyle w:val="Heading1"/>
      </w:pPr>
      <w:r>
        <w:t>Estado Post Compra</w:t>
      </w:r>
    </w:p>
    <w:p>
      <w:pPr>
        <w:pStyle w:val="Heading2"/>
      </w:pPr>
      <w:r>
        <w:t>Nivel De Satisfaccion</w:t>
      </w:r>
    </w:p>
    <w:p>
      <w:r>
        <w:t>Bajo (califican con 4-5 sobre 10) debido a la experiencia post-venta.</w:t>
      </w:r>
    </w:p>
    <w:p>
      <w:pPr>
        <w:pStyle w:val="Heading2"/>
      </w:pPr>
      <w:r>
        <w:t>Reservas</w:t>
      </w:r>
    </w:p>
    <w:p>
      <w:r>
        <w:t>Fuerte desconfianza y temor a que el proyecto no se complete o sufra grandes retrasos, basado en la falta de inicio de obras y experiencias negativas pasadas con otras empresas.</w:t>
      </w:r>
    </w:p>
    <w:p>
      <w:pPr>
        <w:pStyle w:val="Heading2"/>
      </w:pPr>
      <w:r>
        <w:t>Fricciones Pendientes</w:t>
      </w:r>
    </w:p>
    <w:p>
      <w:r>
        <w:t>Incertidumbre total sobre el cronograma del proyecto, un pago final importante que se acerca sin ver avances, y una relación rota con el personal de ventas y atención al cliente, que se muestra indiferente y poco resolutivo.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