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estabilidad habitacional y capital disponible busca una inversión inmobiliaria, pero la decisión es gatillada y definida por un proyecto con un concepto de 'club' que apela a su estilo de vida, transformando una compra financiera en una aspiracional.</w:t>
      </w:r>
    </w:p>
    <w:p>
      <w:pPr>
        <w:pStyle w:val="Heading1"/>
      </w:pPr>
      <w:r>
        <w:t>Historia Causal</w:t>
      </w:r>
    </w:p>
    <w:p>
      <w:pPr>
        <w:pStyle w:val="Heading2"/>
      </w:pPr>
      <w:r>
        <w:t>Contexto Previo</w:t>
      </w:r>
    </w:p>
    <w:p>
      <w:r>
        <w:t>Vive cómodamente en un departamento propio con sus padres en Santanita. Posee estabilidad financiera, sin deudas y con capacidad de inversión, habiendo explorado opciones de forma pasiva durante 2-3 años.</w:t>
      </w:r>
    </w:p>
    <w:p>
      <w:pPr>
        <w:pStyle w:val="Heading2"/>
      </w:pPr>
      <w:r>
        <w:t>Tension Acumulada</w:t>
      </w:r>
    </w:p>
    <w:p>
      <w:r>
        <w:t>La conciencia de tener un capital disponible que no está generando rentabilidad y el deseo latente de diversificar sus inversiones en el sector inmobiliario.</w:t>
      </w:r>
    </w:p>
    <w:p>
      <w:pPr>
        <w:pStyle w:val="Heading2"/>
      </w:pPr>
      <w:r>
        <w:t>Bloqueadores</w:t>
      </w:r>
    </w:p>
    <w:p>
      <w:r>
        <w:t>Búsqueda pasiva e intermitente sin un proyecto que realmente capturara su interés o cumpliera con sus criterios específicos, como ser un edificio de baja altura.</w:t>
      </w:r>
    </w:p>
    <w:p>
      <w:pPr>
        <w:pStyle w:val="Heading2"/>
      </w:pPr>
      <w:r>
        <w:t>Eventos Habilitadores</w:t>
      </w:r>
    </w:p>
    <w:p>
      <w:r>
        <w:t>La estabilidad financiera consolidada y la disponibilidad de capital para la cuota inicial y la compra.</w:t>
      </w:r>
    </w:p>
    <w:p>
      <w:pPr>
        <w:pStyle w:val="Heading2"/>
      </w:pPr>
      <w:r>
        <w:t>Switching Trigger</w:t>
      </w:r>
    </w:p>
    <w:p>
      <w:r>
        <w:t>Ver una publicidad del proyecto WOW en redes sociales que destacaba el concepto de 'club' y las canchas de tenis, alineándose perfectamente con sus intereses personales y activando una búsqueda activa.</w:t>
      </w:r>
    </w:p>
    <w:p>
      <w:pPr>
        <w:pStyle w:val="Heading2"/>
      </w:pPr>
      <w:r>
        <w:t>Momento De Decision</w:t>
      </w:r>
    </w:p>
    <w:p>
      <w:r>
        <w:t>Tras una visita al proyecto que confirmó el atractivo del concepto, tomó una decisión rápida (separación y firma de minuta en 1-2 semanas), influenciado por la presión del vendedor y el fuerte encaje del producto con sus deseos.</w:t>
      </w:r>
    </w:p>
    <w:p>
      <w:pPr>
        <w:pStyle w:val="Heading1"/>
      </w:pPr>
      <w:r>
        <w:t>Contexto Activador</w:t>
      </w:r>
    </w:p>
    <w:p>
      <w:pPr>
        <w:pStyle w:val="Heading2"/>
      </w:pPr>
      <w:r>
        <w:t>Marco General</w:t>
      </w:r>
    </w:p>
    <w:p>
      <w:r>
        <w:t>Profesional con estabilidad financiera y habitacional que busca activamente oportunidades de inversión para su capital. Su estilo de vida incluye la práctica de deportes como el tenis, lo que lo hace especialmente receptivo a propuestas de valor que integren amenidades de ocio y deporte, condicionando su elección final a estos atributos.</w:t>
      </w:r>
    </w:p>
    <w:p>
      <w:pPr>
        <w:pStyle w:val="Heading1"/>
      </w:pPr>
      <w:r>
        <w:t>Logica De Demanda</w:t>
      </w:r>
    </w:p>
    <w:p>
      <w:pPr>
        <w:pStyle w:val="Heading2"/>
      </w:pPr>
      <w:r>
        <w:t>Desired Outcome</w:t>
      </w:r>
    </w:p>
    <w:p>
      <w:r>
        <w:t>Colocar su capital en un activo inmobiliario que no solo proteja su patrimonio y genere rentabilidad, sino que también se alinee con su estilo de vida y ofrezca una opción de vivienda futura deseable.</w:t>
      </w:r>
    </w:p>
    <w:p>
      <w:pPr>
        <w:pStyle w:val="Heading2"/>
      </w:pPr>
      <w:r>
        <w:t>Job Statement</w:t>
      </w:r>
    </w:p>
    <w:p>
      <w:r>
        <w:t>Cuando tengo un capital para invertir, quiero encontrar una propiedad que no solo sea rentable, sino que también ofrezca un estilo de vida superior, para sentir que mi inversión es inteligente y además disfrutable a nivel personal.</w:t>
      </w:r>
    </w:p>
    <w:p>
      <w:pPr>
        <w:pStyle w:val="Heading2"/>
      </w:pPr>
      <w:r>
        <w:t>Job Dominante Narrativo</w:t>
      </w:r>
    </w:p>
    <w:p>
      <w:r>
        <w:t>El cliente busca utilizar su excedente de capital para asegurar un activo que funcione como una inversión sólida, protegiendo su patrimonio y generando opcionalidad a largo plazo.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Concepto de 'club' con múltiples amenities, específicamente canchas de tenis. Edificio de baja altura (máximo 10 pisos). Tipología flexible (1 dormitorio + flex) para uso futuro.</w:t>
      </w:r>
    </w:p>
    <w:p>
      <w:pPr>
        <w:pStyle w:val="Heading2"/>
      </w:pPr>
      <w:r>
        <w:t>Firing Criteria</w:t>
      </w:r>
    </w:p>
    <w:p>
      <w:r>
        <w:t>Edificios de más de 10 pisos por malas experiencias con la gestión de condominios. Proyectos sin un concepto diferenciador o aspiracional. Ubicaciones como Miraflores, percibidas como caras y con espacios pequeños.</w:t>
      </w:r>
    </w:p>
    <w:p>
      <w:pPr>
        <w:pStyle w:val="Heading2"/>
      </w:pPr>
      <w:r>
        <w:t>Trade Offs Reales</w:t>
      </w:r>
    </w:p>
    <w:p>
      <w:r>
        <w:t>Aceptar acabados y materiales de calidad estándar/básica. Soportar un proceso de venta y post-venta desorganizado con múltiples cambios de asesores y mala comunicación. Aceptar cambios en la estructura legal (de fideicomiso a razón social) y retrasos en la entrega.</w:t>
      </w:r>
    </w:p>
    <w:p>
      <w:pPr>
        <w:pStyle w:val="Heading2"/>
      </w:pPr>
      <w:r>
        <w:t>Factores De Confianza</w:t>
      </w:r>
    </w:p>
    <w:p>
      <w:r>
        <w:t>La solidez del concepto del proyecto y la validación física durante la visita al piloto fueron los principales factores. La confianza en la inmobiliaria se ha visto severamente erosionada post-compra.</w:t>
      </w:r>
    </w:p>
    <w:p>
      <w:pPr>
        <w:pStyle w:val="Heading2"/>
      </w:pPr>
      <w:r>
        <w:t>Reduccion De Riesgo</w:t>
      </w:r>
    </w:p>
    <w:p>
      <w:r>
        <w:t>Inicialmente, la estructura de fideicomiso ofrecía una percepción de seguridad. Sin embargo, el mayor mitigador de riesgo fue la fortaleza de la propuesta de valor del producto, que superó las dudas sobre el proceso y la gestión de la inmobiliaria.</w:t>
      </w:r>
    </w:p>
    <w:p>
      <w:pPr>
        <w:pStyle w:val="Heading1"/>
      </w:pPr>
      <w:r>
        <w:t>Evidencia De Fit</w:t>
      </w:r>
    </w:p>
    <w:p>
      <w:pPr>
        <w:pStyle w:val="Heading2"/>
      </w:pPr>
      <w:r>
        <w:t>Atributos Que Activaron Fit</w:t>
      </w:r>
    </w:p>
    <w:p>
      <w:r>
        <w:t>El concepto de 'club', las canchas de tenis y squash, la piscina y las áreas de esparcimiento. La estructura de baja altura del edificio (máximo 10 pisos).</w:t>
      </w:r>
    </w:p>
    <w:p>
      <w:pPr>
        <w:pStyle w:val="Heading2"/>
      </w:pPr>
      <w:r>
        <w:t>Atributos Secundarios</w:t>
      </w:r>
    </w:p>
    <w:p>
      <w:r>
        <w:t>La cercanía al trabajo (fue una coincidencia afortunada, no un criterio de búsqueda). La tipología específica de 1 dormitorio + flex.</w:t>
      </w:r>
    </w:p>
    <w:p>
      <w:pPr>
        <w:pStyle w:val="Heading2"/>
      </w:pPr>
      <w:r>
        <w:t>Alternativas Descartadas</w:t>
      </w:r>
    </w:p>
    <w:p>
      <w:r>
        <w:t>Proyectos en San Borja y Surco vistos en ferias, y uno específico cerca al Puente Primavera. Fueron descartados por no tener un concepto tan atractivo o no cumplir con el criterio de baja altura.</w:t>
      </w:r>
    </w:p>
    <w:p>
      <w:pPr>
        <w:pStyle w:val="Heading1"/>
      </w:pPr>
      <w:r>
        <w:t>Estado Post Compra</w:t>
      </w:r>
    </w:p>
    <w:p>
      <w:pPr>
        <w:pStyle w:val="Heading2"/>
      </w:pPr>
      <w:r>
        <w:t>Nivel De Satisfaccion</w:t>
      </w:r>
    </w:p>
    <w:p>
      <w:r>
        <w:t>Mixto. Alta satisfacción con el concepto del proyecto (lo recomendaría), pero muy baja satisfacción con la atención al cliente y la gestión post-venta (calificación de 6/10, neutral).</w:t>
      </w:r>
    </w:p>
    <w:p>
      <w:pPr>
        <w:pStyle w:val="Heading2"/>
      </w:pPr>
      <w:r>
        <w:t>Reservas</w:t>
      </w:r>
    </w:p>
    <w:p>
      <w:r>
        <w:t>Incertidumbre sobre la fecha final de entrega y el inicio de los pagos del crédito. Preocupación por la calidad de los acabados y las diferencias entre lo ofrecido a él y a nuevos clientes (ej. domótica).</w:t>
      </w:r>
    </w:p>
    <w:p>
      <w:pPr>
        <w:pStyle w:val="Heading2"/>
      </w:pPr>
      <w:r>
        <w:t>Fricciones Pendientes</w:t>
      </w:r>
    </w:p>
    <w:p>
      <w:r>
        <w:t>Proceso de compra de la cochera y depósito sin resolver. Comunicación inexistente o deficiente por parte de la inmobiliaria durante un año. Necesidad de actualizar la minuta con fechas correctas. Constantes cambios de asesores que obligan a reiniciar gestiones.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