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vivienda propia decide mudarse para mejorar el entorno de sus hijos y facilitar la logística universitaria de uno de ellos, cerrando la compra rápidamente al encontrar un proyecto con amenities superiores y condiciones financieras inmejorables.</w:t>
      </w:r>
    </w:p>
    <w:p>
      <w:pPr>
        <w:pStyle w:val="Heading1"/>
      </w:pPr>
      <w:r>
        <w:t>Historia Causal</w:t>
      </w:r>
    </w:p>
    <w:p>
      <w:pPr>
        <w:pStyle w:val="Heading2"/>
      </w:pPr>
      <w:r>
        <w:t>Contexto Previo</w:t>
      </w:r>
    </w:p>
    <w:p>
      <w:r>
        <w:t>Viven en un departamento propio en La Calera, una zona que perciben con un entorno sociocultural mixto y problemas de seguridad. La vivienda actual es funcional pero no óptima para la etapa de desarrollo de sus hijos.</w:t>
      </w:r>
    </w:p>
    <w:p>
      <w:pPr>
        <w:pStyle w:val="Heading2"/>
      </w:pPr>
      <w:r>
        <w:t>Tension Acumulada</w:t>
      </w:r>
    </w:p>
    <w:p>
      <w:r>
        <w:t>Deseo latente de mejorar el entorno sociocultural y la seguridad para sus hijos. Preocupación por la logística futura del hijo mayor que busca una beca en la UPC y la necesidad de un espacio seguro para el hijo menor.</w:t>
      </w:r>
    </w:p>
    <w:p>
      <w:pPr>
        <w:pStyle w:val="Heading2"/>
      </w:pPr>
      <w:r>
        <w:t>Bloqueadores</w:t>
      </w:r>
    </w:p>
    <w:p>
      <w:r>
        <w:t>Precios elevados en otros proyectos que no ofrecían una propuesta de valor convincente. La idea de una inversión mayor como construir en su terreno de Cieneguilla posponía la decisión.</w:t>
      </w:r>
    </w:p>
    <w:p>
      <w:pPr>
        <w:pStyle w:val="Heading2"/>
      </w:pPr>
      <w:r>
        <w:t>Eventos Habilitadores</w:t>
      </w:r>
    </w:p>
    <w:p>
      <w:r>
        <w:t>La búsqueda activa de una beca deportiva del hijo en la UPC cristalizó la necesidad de cercanía. La disponibilidad de capital propio para la compra sin financiamiento bancario.</w:t>
      </w:r>
    </w:p>
    <w:p>
      <w:pPr>
        <w:pStyle w:val="Heading2"/>
      </w:pPr>
      <w:r>
        <w:t>Switching Trigger</w:t>
      </w:r>
    </w:p>
    <w:p>
      <w:r>
        <w:t>Ver una publicidad online del proyecto WOW, que ofrecía una combinación de ubicación estratégica (cerca de la UPC) y áreas comunes tipo club, lo que los llevó a una visita no planificada.</w:t>
      </w:r>
    </w:p>
    <w:p>
      <w:pPr>
        <w:pStyle w:val="Heading2"/>
      </w:pPr>
      <w:r>
        <w:t>Momento De Decision</w:t>
      </w:r>
    </w:p>
    <w:p>
      <w:r>
        <w:t>La decisión fue casi inmediata durante la primera visita. La jefa de ventas les ofreció el precio de Cyber por adelantado, un descuento significativo y financiamiento directo con la inmobiliaria hasta diciembre, condiciones que eliminaron todas las barreras y crearon una sensación de oportunidad única e irrepetible.</w:t>
      </w:r>
    </w:p>
    <w:p>
      <w:pPr>
        <w:pStyle w:val="Heading1"/>
      </w:pPr>
      <w:r>
        <w:t>Contexto Activador</w:t>
      </w:r>
    </w:p>
    <w:p>
      <w:pPr>
        <w:pStyle w:val="Heading2"/>
      </w:pPr>
      <w:r>
        <w:t>Marco General</w:t>
      </w:r>
    </w:p>
    <w:p>
      <w:r>
        <w:t>Familia con dos hijos en etapas clave (adolescencia y pre-universitaria), con un sistema de vida establecido en Surco pero buscando una mejora cualitativa. El padre, con experiencia en construcción, opera con una lógica financiera sofisticada, evitando el endeudamiento bancario como restricción estructural. La decisión se activa al encontrar una solución que resuelve simultáneamente las necesidades logísticas y de seguridad de los hijos y cumple con sus estrictos criterios financieros.</w:t>
      </w:r>
    </w:p>
    <w:p>
      <w:pPr>
        <w:pStyle w:val="Heading1"/>
      </w:pPr>
      <w:r>
        <w:t>Logica De Demanda</w:t>
      </w:r>
    </w:p>
    <w:p>
      <w:pPr>
        <w:pStyle w:val="Heading2"/>
      </w:pPr>
      <w:r>
        <w:t>Desired Outcome</w:t>
      </w:r>
    </w:p>
    <w:p>
      <w:r>
        <w:t>Proporcionar a la familia un entorno habitacional que apoye activamente el desarrollo y la seguridad de los hijos, facilitando su transición a la vida universitaria y ofreciendo un espacio de esparcimiento controlado, todo mientras se realiza una inversión patrimonial inteligente.</w:t>
      </w:r>
    </w:p>
    <w:p>
      <w:pPr>
        <w:pStyle w:val="Heading2"/>
      </w:pPr>
      <w:r>
        <w:t>Job Statement</w:t>
      </w:r>
    </w:p>
    <w:p>
      <w:r>
        <w:t>Cuando mis hijos entran en una nueva etapa de vida (universidad, adolescencia), quiero mudarme a un entorno más seguro y conveniente para facilitar su desarrollo y logística, asegurando que la inversión sea financieramente sólida.</w:t>
      </w:r>
    </w:p>
    <w:p>
      <w:pPr>
        <w:pStyle w:val="Heading2"/>
      </w:pPr>
      <w:r>
        <w:t>Job Dominante Narrativo</w:t>
      </w:r>
    </w:p>
    <w:p>
      <w:r>
        <w:t>El cliente busca reorganizar la vida familiar para dar soporte a la nueva etapa de sus hijos, proveyendo un entorno seguro y logísticamente eficiente que se alinee con sus aspiraciones de desarrollo (beca deportiva en la UPC) y bienestar.</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Áreas comunes tipo club para la seguridad y deporte de los hijos, proximidad a la UPC, precio de oportunidad (Cyber), y la condición indispensable de financiamiento directo sin banco.</w:t>
      </w:r>
    </w:p>
    <w:p>
      <w:pPr>
        <w:pStyle w:val="Heading2"/>
      </w:pPr>
      <w:r>
        <w:t>Firing Criteria</w:t>
      </w:r>
    </w:p>
    <w:p>
      <w:r>
        <w:t>Proyectos con áreas comunes básicas, precios inflados para su valor real, distribuciones poco funcionales y la obligatoriedad de financiamiento bancario.</w:t>
      </w:r>
    </w:p>
    <w:p>
      <w:pPr>
        <w:pStyle w:val="Heading2"/>
      </w:pPr>
      <w:r>
        <w:t>Trade Offs Reales</w:t>
      </w:r>
    </w:p>
    <w:p>
      <w:r>
        <w:t>Aceptar un proceso de compra con alta presión por parte de la vendedora y una comunicación post-venta deficiente a cambio de asegurar una propuesta de valor inmobiliaria y financiera que consideraron inmejorable.</w:t>
      </w:r>
    </w:p>
    <w:p>
      <w:pPr>
        <w:pStyle w:val="Heading2"/>
      </w:pPr>
      <w:r>
        <w:t>Factores De Confianza</w:t>
      </w:r>
    </w:p>
    <w:p>
      <w:r>
        <w:t>El conocimiento previo del sector por parte del cliente le permitió validar que la oferta era genuinamente buena. La solidez percibida del grupo inmobiliario (verificado a través de contactos) le dio seguridad para invertir.</w:t>
      </w:r>
    </w:p>
    <w:p>
      <w:pPr>
        <w:pStyle w:val="Heading2"/>
      </w:pPr>
      <w:r>
        <w:t>Reduccion De Riesgo</w:t>
      </w:r>
    </w:p>
    <w:p>
      <w:r>
        <w:t>La principal reducción de riesgo fue financiera: evitar un crédito hipotecario a largo plazo. Su propia experiencia en construcción le permitió evaluar la viabilidad y calidad del proyecto, reduciendo el riesgo técnico percibido.</w:t>
      </w:r>
    </w:p>
    <w:p>
      <w:pPr>
        <w:pStyle w:val="Heading1"/>
      </w:pPr>
      <w:r>
        <w:t>Evidencia De Fit</w:t>
      </w:r>
    </w:p>
    <w:p>
      <w:pPr>
        <w:pStyle w:val="Heading2"/>
      </w:pPr>
      <w:r>
        <w:t>Atributos Que Activaron Fit</w:t>
      </w:r>
    </w:p>
    <w:p>
      <w:r>
        <w:t>Las 4000m² de áreas comunes, la ubicación estratégica en Surco cerca de la UPC y sus clientes, el departamento de 80m² (el más grande de WOW), y el precio con descuento.</w:t>
      </w:r>
    </w:p>
    <w:p>
      <w:pPr>
        <w:pStyle w:val="Heading2"/>
      </w:pPr>
      <w:r>
        <w:t>Atributos Secundarios</w:t>
      </w:r>
    </w:p>
    <w:p>
      <w:r>
        <w:t>El diseño específico de los acabados (ya que planean personalizarlos), la marca de la inmobiliaria (fue un factor de confianza pero no el atractivo principal).</w:t>
      </w:r>
    </w:p>
    <w:p>
      <w:pPr>
        <w:pStyle w:val="Heading2"/>
      </w:pPr>
      <w:r>
        <w:t>Alternativas Descartadas</w:t>
      </w:r>
    </w:p>
    <w:p>
      <w:r>
        <w:t>Proyecto MUV (de la misma inmobiliaria) por falta de disponibilidad de la tipología deseada y distribución no funcional. Proyectos en La Calera y cerca del colegio Hans Christian por ser caros, pequeños y con áreas comunes deficientes.</w:t>
      </w:r>
    </w:p>
    <w:p>
      <w:pPr>
        <w:pStyle w:val="Heading1"/>
      </w:pPr>
      <w:r>
        <w:t>Estado Post Compra</w:t>
      </w:r>
    </w:p>
    <w:p>
      <w:pPr>
        <w:pStyle w:val="Heading2"/>
      </w:pPr>
      <w:r>
        <w:t>Nivel De Satisfaccion</w:t>
      </w:r>
    </w:p>
    <w:p>
      <w:r>
        <w:t>Alta satisfacción con la compra en sí (el 'deal'), pero baja satisfacción con la experiencia post-venta.</w:t>
      </w:r>
    </w:p>
    <w:p>
      <w:pPr>
        <w:pStyle w:val="Heading2"/>
      </w:pPr>
      <w:r>
        <w:t>Reservas</w:t>
      </w:r>
    </w:p>
    <w:p>
      <w:r>
        <w:t>Incertidumbre y frustración por la falta de comunicación proactiva de la inmobiliaria sobre el inicio de obras y los siguientes pasos.</w:t>
      </w:r>
    </w:p>
    <w:p>
      <w:pPr>
        <w:pStyle w:val="Heading2"/>
      </w:pPr>
      <w:r>
        <w:t>Fricciones Pendientes</w:t>
      </w:r>
    </w:p>
    <w:p>
      <w:r>
        <w:t>Imposibilidad de obtener respuestas técnicas para planificar la personalización del departamento (mover muros, cambiar acabados), lo que genera ansiedad y bloquea su proceso de diseño interior.</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