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Padre de familia, actualmente alquilando, es activado por una oportunidad de crédito para buscar una inversión. La búsqueda se transforma en una compra impulsiva y aspiracional al encontrar un proyecto con amenidades tipo club, que percibe como la máxima expresión de bienestar para sus hijos.</w:t>
      </w:r>
    </w:p>
    <w:p>
      <w:pPr>
        <w:pStyle w:val="Heading1"/>
      </w:pPr>
      <w:r>
        <w:t>Historia Causal</w:t>
      </w:r>
    </w:p>
    <w:p>
      <w:pPr>
        <w:pStyle w:val="Heading2"/>
      </w:pPr>
      <w:r>
        <w:t>Contexto Previo</w:t>
      </w:r>
    </w:p>
    <w:p>
      <w:r>
        <w:t>Una familia de origen colombiano con dos hijos vive de alquiler en Lima. Tienen capital disponible pero inactivo y experiencia previa viviendo en condominios con amplias áreas sociales en su país, lo que establece un estándar de comparación alto. Su situación de vivienda es funcional, pero carece de los extras que valoran.</w:t>
      </w:r>
    </w:p>
    <w:p>
      <w:pPr>
        <w:pStyle w:val="Heading2"/>
      </w:pPr>
      <w:r>
        <w:t>Tension Acumulada</w:t>
      </w:r>
    </w:p>
    <w:p>
      <w:r>
        <w:t>Existía una insatisfacción latente con el alquiler, percibido como un gasto sin retorno ('dinero botado a la basura') y con limitaciones para personalizar el espacio. A esto se sumaba el deseo de replicar el estilo de vida con amenidades al que estaban acostumbrados y proporcionar un mejor entorno para sus hijos.</w:t>
      </w:r>
    </w:p>
    <w:p>
      <w:pPr>
        <w:pStyle w:val="Heading2"/>
      </w:pPr>
      <w:r>
        <w:t>Bloqueadores</w:t>
      </w:r>
    </w:p>
    <w:p>
      <w:r>
        <w:t>El principal bloqueador era la incertidumbre sobre su permanencia a largo plazo en Perú debido a la movilidad laboral del cliente. Esto generaba dudas en su esposa sobre la conveniencia de comprar una propiedad.</w:t>
      </w:r>
    </w:p>
    <w:p>
      <w:pPr>
        <w:pStyle w:val="Heading2"/>
      </w:pPr>
      <w:r>
        <w:t>Eventos Habilitadores</w:t>
      </w:r>
    </w:p>
    <w:p>
      <w:r>
        <w:t>El catalizador fue la obtención de un crédito pre-aprobado por el banco. Al analizarlo, se dio cuenta de que la cuota mensual sería muy similar a lo que ya pagaba de alquiler, lo que transformó la idea de comprar de una posibilidad lejana a una oportunidad financiera concreta y atractiva.</w:t>
      </w:r>
    </w:p>
    <w:p>
      <w:pPr>
        <w:pStyle w:val="Heading2"/>
      </w:pPr>
      <w:r>
        <w:t>Switching Trigger</w:t>
      </w:r>
    </w:p>
    <w:p>
      <w:r>
        <w:t>El detonante final fue el descubrimiento del proyecto WOW. Al ver la publicidad y luego visitar la sala de ventas, la propuesta de valor de las amenidades ('parecerá un club') conectó inmediatamente con sus aspiraciones, pasando de una búsqueda pasiva a una intención de compra activa e inmediata.</w:t>
      </w:r>
    </w:p>
    <w:p>
      <w:pPr>
        <w:pStyle w:val="Heading2"/>
      </w:pPr>
      <w:r>
        <w:t>Momento De Decision</w:t>
      </w:r>
    </w:p>
    <w:p>
      <w:r>
        <w:t>La decisión fue extremadamente rápida y emocional. Durante la visita, al ver a sus hijos contentos y visualizar el estilo de vida que podrían tener, compró por impulso ese mismo fin de semana. Posteriormente, un análisis racional del espacio lo llevó a solicitar un cambio a una unidad más grande dentro del mismo proyecto, demostrando su compromiso con el proyecto en sí, más que con la unidad inicial.</w:t>
      </w:r>
    </w:p>
    <w:p>
      <w:pPr>
        <w:pStyle w:val="Heading1"/>
      </w:pPr>
      <w:r>
        <w:t>Contexto Activador</w:t>
      </w:r>
    </w:p>
    <w:p>
      <w:pPr>
        <w:pStyle w:val="Heading2"/>
      </w:pPr>
      <w:r>
        <w:t>Marco General</w:t>
      </w:r>
    </w:p>
    <w:p>
      <w:r>
        <w:t>El cliente es un padre de familia extranjero, con hijos en etapa universitaria, que opera bajo un sistema de vida estable pero sin las comodidades aspiracionales a las que está acostumbrado. Su decisión se activa al confluir la capacidad financiera (crédito y ahorros) con la aparición de un producto que encaja perfectamente con su visión de un estilo de vida familiar superior.</w:t>
      </w:r>
    </w:p>
    <w:p>
      <w:pPr>
        <w:pStyle w:val="Heading1"/>
      </w:pPr>
      <w:r>
        <w:t>Logica De Demanda</w:t>
      </w:r>
    </w:p>
    <w:p>
      <w:pPr>
        <w:pStyle w:val="Heading2"/>
      </w:pPr>
      <w:r>
        <w:t>Desired Outcome</w:t>
      </w:r>
    </w:p>
    <w:p>
      <w:r>
        <w:t>Lograr una doble victoria: realizar una inversión patrimonial inteligente que proteja su capital y, simultáneamente, proporcionar a su familia un entorno de vida excepcional que eleve su bienestar y felicidad diaria, especialmente la de sus hijos.</w:t>
      </w:r>
    </w:p>
    <w:p>
      <w:pPr>
        <w:pStyle w:val="Heading2"/>
      </w:pPr>
      <w:r>
        <w:t>Job Statement</w:t>
      </w:r>
    </w:p>
    <w:p>
      <w:r>
        <w:t>Cuando tengo la oportunidad de invertir en una propiedad, quiero un proyecto con amenidades tipo club para que mi familia disfrute de un estilo de vida superior y yo sienta que tomé una decisión aspiracional e inteligente.</w:t>
      </w:r>
    </w:p>
    <w:p>
      <w:pPr>
        <w:pStyle w:val="Heading2"/>
      </w:pPr>
      <w:r>
        <w:t>Job Dominante Narrativo</w:t>
      </w:r>
    </w:p>
    <w:p>
      <w:r>
        <w:t>El cliente está tratando de contratar un estilo de vida superior para su familia. La misión no es resolver un problema de espacio o ubicación, sino adquirir un entorno que se sienta como un 'club', donde sus hijos puedan ser felices y él pueda sentirse satisfecho como proveedor de ese bienestar.</w:t>
      </w:r>
    </w:p>
    <w:p>
      <w:pPr>
        <w:pStyle w:val="Heading2"/>
      </w:pPr>
      <w:r>
        <w:t>Job Dominante Canonico</w:t>
      </w:r>
    </w:p>
    <w:p>
      <w:r>
        <w:t>J06: Expresar identidad y coherencia personal</w:t>
      </w:r>
    </w:p>
    <w:p>
      <w:pPr>
        <w:pStyle w:val="Heading2"/>
      </w:pPr>
      <w:r>
        <w:t>Job Secundario Canonico</w:t>
      </w:r>
    </w:p>
    <w:p>
      <w:r>
        <w:t>J04: Acompañar el crecimiento familiar</w:t>
      </w:r>
    </w:p>
    <w:p>
      <w:pPr>
        <w:pStyle w:val="Heading1"/>
      </w:pPr>
      <w:r>
        <w:t>Logica De Eleccion</w:t>
      </w:r>
    </w:p>
    <w:p>
      <w:pPr>
        <w:pStyle w:val="Heading2"/>
      </w:pPr>
      <w:r>
        <w:t>Hiring Criteria</w:t>
      </w:r>
    </w:p>
    <w:p>
      <w:r>
        <w:t>El criterio de contratación principal y casi exclusivo fueron las áreas comunes y la propuesta de valor general del proyecto. La sensación de 'club', la piscina, el gimnasio y los espacios verdes fueron determinantes. Secundariamente, la viabilidad financiera (cuota similar al alquiler) y que la unidad tuviera balcón y estacionamiento techado.</w:t>
      </w:r>
    </w:p>
    <w:p>
      <w:pPr>
        <w:pStyle w:val="Heading2"/>
      </w:pPr>
      <w:r>
        <w:t>Firing Criteria</w:t>
      </w:r>
    </w:p>
    <w:p>
      <w:r>
        <w:t>Descartó automáticamente proyectos 'muy normalitos' que solo ofrecían lo básico, así como departamentos antiguos que requerían remodelación. La falta de una propuesta de valor aspiracional era un motivo de descarte inmediato. El proyecto MUV fue descartado por una percepción de precio muy elevado.</w:t>
      </w:r>
    </w:p>
    <w:p>
      <w:pPr>
        <w:pStyle w:val="Heading2"/>
      </w:pPr>
      <w:r>
        <w:t>Trade Offs Reales</w:t>
      </w:r>
    </w:p>
    <w:p>
      <w:r>
        <w:t>Aceptó un gran sacrificio inicial al comprar una unidad que funcionalmente no se ajustaba a las necesidades de sus hijos (no entraban las dos camas), priorizando las amenidades del proyecto. También aceptó la carga financiera de pagar simultáneamente el alquiler y la cuota del crédito, un esfuerzo no previsto.</w:t>
      </w:r>
    </w:p>
    <w:p>
      <w:pPr>
        <w:pStyle w:val="Heading2"/>
      </w:pPr>
      <w:r>
        <w:t>Factores De Confianza</w:t>
      </w:r>
    </w:p>
    <w:p>
      <w:r>
        <w:t>La confianza se basó en la calidad percibida del proyecto y su propuesta de valor. Ver el proyecto modelo y las áreas comunes tangibilizó la promesa y generó el impulso de compra. La posibilidad de vender o alquilar a futuro también le dio seguridad a la inversión.</w:t>
      </w:r>
    </w:p>
    <w:p>
      <w:pPr>
        <w:pStyle w:val="Heading2"/>
      </w:pPr>
      <w:r>
        <w:t>Reduccion De Riesgo</w:t>
      </w:r>
    </w:p>
    <w:p>
      <w:r>
        <w:t>El principal mecanismo de reducción de riesgo fue la percepción de que el mercado inmobiliario en Perú es líquido, lo que le permitiría vender la propiedad si eventualmente se mudaba de país. El hecho de que la cuota fuera similar al alquiler también minimizó el riesgo financiero percibido.</w:t>
      </w:r>
    </w:p>
    <w:p>
      <w:pPr>
        <w:pStyle w:val="Heading1"/>
      </w:pPr>
      <w:r>
        <w:t>Evidencia De Fit</w:t>
      </w:r>
    </w:p>
    <w:p>
      <w:pPr>
        <w:pStyle w:val="Heading2"/>
      </w:pPr>
      <w:r>
        <w:t>Atributos Que Activaron Fit</w:t>
      </w:r>
    </w:p>
    <w:p>
      <w:r>
        <w:t>Las áreas comunes fueron el activador principal: piscina, gimnasio, zonas verdes y la sensación general de 'club'. Estos elementos conectaron directamente con su deseo de ofrecer un mejor estilo de vida a su familia y fueron, en sus palabras, 'el 50% de la decisión'.</w:t>
      </w:r>
    </w:p>
    <w:p>
      <w:pPr>
        <w:pStyle w:val="Heading2"/>
      </w:pPr>
      <w:r>
        <w:t>Atributos Secundarios</w:t>
      </w:r>
    </w:p>
    <w:p>
      <w:r>
        <w:t>El balcón, el estacionamiento techado y la ubicación en un piso alto eran parte de su checklist, pero no fueron los impulsores de la decisión. Eran características deseadas que validaron la elección, pero no la originaron.</w:t>
      </w:r>
    </w:p>
    <w:p>
      <w:pPr>
        <w:pStyle w:val="Heading2"/>
      </w:pPr>
      <w:r>
        <w:t>Alternativas Descartadas</w:t>
      </w:r>
    </w:p>
    <w:p>
      <w:r>
        <w:t>Descartó proyectos en San Borja por ser 'muy normalitos' o demasiado antiguos. No exploró a fondo otras opciones porque WOW lo 'antojó' y cumplió con su principal criterio aspiracional, haciendo que las demás alternativas parecieran inferiores en comparación.</w:t>
      </w:r>
    </w:p>
    <w:p>
      <w:pPr>
        <w:pStyle w:val="Heading1"/>
      </w:pPr>
      <w:r>
        <w:t>Estado Post Compra</w:t>
      </w:r>
    </w:p>
    <w:p>
      <w:pPr>
        <w:pStyle w:val="Heading2"/>
      </w:pPr>
      <w:r>
        <w:t>Nivel De Satisfaccion</w:t>
      </w:r>
    </w:p>
    <w:p>
      <w:r>
        <w:t>Ambivalente. Alta satisfacción con el concepto del proyecto y la decisión de compra en sí. Sin embargo, hay una insatisfacción significativa con el proceso post-venta debido a la falta de claridad en la información.</w:t>
      </w:r>
    </w:p>
    <w:p>
      <w:pPr>
        <w:pStyle w:val="Heading2"/>
      </w:pPr>
      <w:r>
        <w:t>Reservas</w:t>
      </w:r>
    </w:p>
    <w:p>
      <w:r>
        <w:t>La principal reserva es la sensación de haber actuado como 'novatos'. La sorpresa del cronograma de pagos y las discrepancias en los planos del primer departamento generaron desconfianza y un sentimiento de vulnerabilidad en un proceso desconocido para ellos como extranjeros.</w:t>
      </w:r>
    </w:p>
    <w:p>
      <w:pPr>
        <w:pStyle w:val="Heading2"/>
      </w:pPr>
      <w:r>
        <w:t>Fricciones Pendientes</w:t>
      </w:r>
    </w:p>
    <w:p>
      <w:r>
        <w:t>La fricción más crítica fue tener que realizar un 'retrabajo' para cambiar de unidad, lo que implicó esfuerzo, tiempo y estrés adicional. Persiste la fricción de la doble carga financiera (alquiler + cuota) y la incertidumbre sobre la precisión de la información futura que recibirán.</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