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inicia la búsqueda con una intención puramente de inversión, motivada por la oportunidad de usar su tasa de interés preferencial. Al descubrir el proyecto WOW a través de amigos, el atractivo de las amenities y la ubicación la llevan a cambiar el plan y decidir vivir allí temporalmente, convirtiendo una decisión patrimonial en una de estilo de vida.</w:t>
      </w:r>
    </w:p>
    <w:p>
      <w:pPr>
        <w:pStyle w:val="Heading1"/>
      </w:pPr>
      <w:r>
        <w:t>Historia Causal</w:t>
      </w:r>
    </w:p>
    <w:p>
      <w:pPr>
        <w:pStyle w:val="Heading2"/>
      </w:pPr>
      <w:r>
        <w:t>Contexto Previo</w:t>
      </w:r>
    </w:p>
    <w:p>
      <w:r>
        <w:t>La clienta vive cómodamente en un departamento de su madre, pagando un alquiler preferencial. No tiene ninguna necesidad o urgencia de mudarse. Dispone de capital y una excelente calificación crediticia por su trabajo en un banco.</w:t>
      </w:r>
    </w:p>
    <w:p>
      <w:pPr>
        <w:pStyle w:val="Heading2"/>
      </w:pPr>
      <w:r>
        <w:t>Tension Acumulada</w:t>
      </w:r>
    </w:p>
    <w:p>
      <w:r>
        <w:t>La tensión principal era el costo de oportunidad de tener un capital sin generar rentabilidad. Existía un deseo latente de construir su propio patrimonio y asegurar un activo que pudiera generar ingresos pasivos en el futuro.</w:t>
      </w:r>
    </w:p>
    <w:p>
      <w:pPr>
        <w:pStyle w:val="Heading2"/>
      </w:pPr>
      <w:r>
        <w:t>Bloqueadores</w:t>
      </w:r>
    </w:p>
    <w:p>
      <w:r>
        <w:t>El principal bloqueador era la inercia. Su situación de vivienda era cómoda y sostenible, por lo que no había un impulso activo para buscar una propiedad. No tenía un plan de compra personal antes de que su madre iniciara el proceso.</w:t>
      </w:r>
    </w:p>
    <w:p>
      <w:pPr>
        <w:pStyle w:val="Heading2"/>
      </w:pPr>
      <w:r>
        <w:t>Eventos Habilitadores</w:t>
      </w:r>
    </w:p>
    <w:p>
      <w:r>
        <w:t>El proceso se habilita cuando su madre decide comprar otra propiedad. La clienta ofrece su tasa de interés preferencial para ayudarla, lo que la introduce en el mercado. El descubrimiento casual del proyecto WOW a través de dos grupos de amigos distintos y el apoyo financiero de su madre para la cuota inicial fueron los habilitadores clave.</w:t>
      </w:r>
    </w:p>
    <w:p>
      <w:pPr>
        <w:pStyle w:val="Heading2"/>
      </w:pPr>
      <w:r>
        <w:t>Switching Trigger</w:t>
      </w:r>
    </w:p>
    <w:p>
      <w:r>
        <w:t>El detonante final fue la visita al proyecto con su madre. Al ver las instalaciones, especialmente la piscina, y recibir una propuesta comercial atractiva con una promoción por tiempo limitado, la intención latente se convirtió en una decisión de compra inmediata y doble (para ella y su madre).</w:t>
      </w:r>
    </w:p>
    <w:p>
      <w:pPr>
        <w:pStyle w:val="Heading2"/>
      </w:pPr>
      <w:r>
        <w:t>Momento De Decision</w:t>
      </w:r>
    </w:p>
    <w:p>
      <w:r>
        <w:t>La decisión fue extremadamente rápida y emocional. Tras la visita, y motivadas por una promoción de 'ahora o nunca', deciden comprar dos departamentos. El proceso de separación y pago de la inicial se ejecutó bajo una fuerte presión de tiempo, en menos de 48 horas.</w:t>
      </w:r>
    </w:p>
    <w:p>
      <w:pPr>
        <w:pStyle w:val="Heading1"/>
      </w:pPr>
      <w:r>
        <w:t>Contexto Activador</w:t>
      </w:r>
    </w:p>
    <w:p>
      <w:pPr>
        <w:pStyle w:val="Heading2"/>
      </w:pPr>
      <w:r>
        <w:t>Marco General</w:t>
      </w:r>
    </w:p>
    <w:p>
      <w:r>
        <w:t>Joven profesional de 28 años, empleada de un banco con acceso a beneficios financieros. Su sistema de vida es estable y cómodo, viviendo cerca de su familia y lugares de interés (deporte, trabajo). No tiene una necesidad habitacional urgente, pero sí la capacidad y la oportunidad de realizar una inversión inmobiliaria significativa.</w:t>
      </w:r>
    </w:p>
    <w:p>
      <w:pPr>
        <w:pStyle w:val="Heading1"/>
      </w:pPr>
      <w:r>
        <w:t>Logica De Demanda</w:t>
      </w:r>
    </w:p>
    <w:p>
      <w:pPr>
        <w:pStyle w:val="Heading2"/>
      </w:pPr>
      <w:r>
        <w:t>Desired Outcome</w:t>
      </w:r>
    </w:p>
    <w:p>
      <w:r>
        <w:t>Asegurar un activo inmobiliario flexible y rentable que optimice la calidad de vida actual, genere ingresos futuros y garantice la seguridad patrimonial familiar, aprovechando al máximo las ventajas financieras personales.</w:t>
      </w:r>
    </w:p>
    <w:p>
      <w:pPr>
        <w:pStyle w:val="Heading2"/>
      </w:pPr>
      <w:r>
        <w:t>Job Statement</w:t>
      </w:r>
    </w:p>
    <w:p>
      <w:r>
        <w:t>Cuando tengo capital y una ventaja financiera, quiero invertir en una propiedad para que genere ingresos pasivos y asegure mi patrimonio a futuro.</w:t>
      </w:r>
    </w:p>
    <w:p>
      <w:pPr>
        <w:pStyle w:val="Heading2"/>
      </w:pPr>
      <w:r>
        <w:t>Job Dominante Narrativo</w:t>
      </w:r>
    </w:p>
    <w:p>
      <w:r>
        <w:t>La clienta está tratando de poner a trabajar su dinero. La misión es transformar un capital ocioso en un activo productivo que se pague solo a largo plazo y le brinde flexibilidad, ya sea como vivienda temporal o como fuente de renta.</w:t>
      </w:r>
    </w:p>
    <w:p>
      <w:pPr>
        <w:pStyle w:val="Heading2"/>
      </w:pPr>
      <w:r>
        <w:t>Job Dominante Canonico</w:t>
      </w:r>
    </w:p>
    <w:p>
      <w:r>
        <w:t>J02: Proteger y flexibilizar el patrimonio</w:t>
      </w:r>
    </w:p>
    <w:p>
      <w:pPr>
        <w:pStyle w:val="Heading2"/>
      </w:pPr>
      <w:r>
        <w:t>Job Secundario Canonico</w:t>
      </w:r>
    </w:p>
    <w:p>
      <w:r>
        <w:t>J03: Optimizar la vida cotidiana</w:t>
      </w:r>
    </w:p>
    <w:p>
      <w:pPr>
        <w:pStyle w:val="Heading1"/>
      </w:pPr>
      <w:r>
        <w:t>Logica De Eleccion</w:t>
      </w:r>
    </w:p>
    <w:p>
      <w:pPr>
        <w:pStyle w:val="Heading2"/>
      </w:pPr>
      <w:r>
        <w:t>Hiring Criteria</w:t>
      </w:r>
    </w:p>
    <w:p>
      <w:r>
        <w:t>La elección se basó en la combinación de una ubicación estratégica (cerca de su deporte y su madre), amenities excepcionales (piscina 'gigantesca', cine), una distribución funcional (baño fuera del cuarto), un precio percibido como 'ganga' y la confianza generada por amigos que ya vivían allí.</w:t>
      </w:r>
    </w:p>
    <w:p>
      <w:pPr>
        <w:pStyle w:val="Heading2"/>
      </w:pPr>
      <w:r>
        <w:t>Firing Criteria</w:t>
      </w:r>
    </w:p>
    <w:p>
      <w:r>
        <w:t>Descartó automáticamente proyectos en ubicaciones ruidosas o con mucho tráfico (Surquillo), que no incluyeran cochera, o cuya distribución fuera disfuncional (un solo baño dentro del dormitorio principal). También evitaba proyectos que fueran solo terreno, sin construcción avanzada.</w:t>
      </w:r>
    </w:p>
    <w:p>
      <w:pPr>
        <w:pStyle w:val="Heading2"/>
      </w:pPr>
      <w:r>
        <w:t>Trade Offs Reales</w:t>
      </w:r>
    </w:p>
    <w:p>
      <w:r>
        <w:t>Aceptó una fuerte presión de venta y plazos de pago extremadamente cortos (un día y medio), lo que le generó estrés y la obligó a usar tiempo laboral para trámites. También tuvo que cancelar una tarjeta de crédito para cumplir los requisitos del banco.</w:t>
      </w:r>
    </w:p>
    <w:p>
      <w:pPr>
        <w:pStyle w:val="Heading2"/>
      </w:pPr>
      <w:r>
        <w:t>Factores De Confianza</w:t>
      </w:r>
    </w:p>
    <w:p>
      <w:r>
        <w:t>La confianza principal provino de la experiencia positiva y directa de dos grupos de amigos que ya vivían en el proyecto y hablaban maravillas de la inmobiliaria y la entrega a tiempo. Ver el proyecto parcialmente construido también redujo la percepción de riesgo.</w:t>
      </w:r>
    </w:p>
    <w:p>
      <w:pPr>
        <w:pStyle w:val="Heading2"/>
      </w:pPr>
      <w:r>
        <w:t>Reduccion De Riesgo</w:t>
      </w:r>
    </w:p>
    <w:p>
      <w:r>
        <w:t>El riesgo se minimizó al ver que el proyecto ya era una realidad con residentes felices, lo que validaba la promesa de la inmobiliaria. Aunque el proceso de pago fue estresante, la alta probabilidad de aprobación de su crédito (99.9%) le dio la seguridad para proceder.</w:t>
      </w:r>
    </w:p>
    <w:p>
      <w:pPr>
        <w:pStyle w:val="Heading1"/>
      </w:pPr>
      <w:r>
        <w:t>Evidencia De Fit</w:t>
      </w:r>
    </w:p>
    <w:p>
      <w:pPr>
        <w:pStyle w:val="Heading2"/>
      </w:pPr>
      <w:r>
        <w:t>Atributos Que Activaron Fit</w:t>
      </w:r>
    </w:p>
    <w:p>
      <w:r>
        <w:t>La piscina fue el principal activador emocional. La ubicación céntrica y conveniente, la distribución inteligente del departamento (1+flex con baño de visitas), el precio competitivo con cochera incluida y las áreas comunes como el cine, crearon un fit perfecto con sus criterios de selección.</w:t>
      </w:r>
    </w:p>
    <w:p>
      <w:pPr>
        <w:pStyle w:val="Heading2"/>
      </w:pPr>
      <w:r>
        <w:t>Atributos Secundarios</w:t>
      </w:r>
    </w:p>
    <w:p>
      <w:r>
        <w:t>El gimnasio no fue un factor relevante, ya que tiene uno en su trabajo. El depósito tampoco fue necesario, dado que tiene espacio de almacenamiento en las propiedades de su madre.</w:t>
      </w:r>
    </w:p>
    <w:p>
      <w:pPr>
        <w:pStyle w:val="Heading2"/>
      </w:pPr>
      <w:r>
        <w:t>Alternativas Descartadas</w:t>
      </w:r>
    </w:p>
    <w:p>
      <w:r>
        <w:t>Descartó un proyecto en Surquillo (High Life) que su madre estaba considerando. Las razones fueron una peor ubicación (más ruidosa), un precio más alto por metro cuadrado, no incluía cochera y las áreas comunes eran menos atractivas.</w:t>
      </w:r>
    </w:p>
    <w:p>
      <w:pPr>
        <w:pStyle w:val="Heading1"/>
      </w:pPr>
      <w:r>
        <w:t>Estado Post Compra</w:t>
      </w:r>
    </w:p>
    <w:p>
      <w:pPr>
        <w:pStyle w:val="Heading2"/>
      </w:pPr>
      <w:r>
        <w:t>Nivel De Satisfaccion</w:t>
      </w:r>
    </w:p>
    <w:p>
      <w:r>
        <w:t>Alto (9/10), principalmente con el producto y la decisión de compra en sí.</w:t>
      </w:r>
    </w:p>
    <w:p>
      <w:pPr>
        <w:pStyle w:val="Heading2"/>
      </w:pPr>
      <w:r>
        <w:t>Reservas</w:t>
      </w:r>
    </w:p>
    <w:p>
      <w:r>
        <w:t>La principal reserva es sobre el proceso de venta, específicamente la presión para pagar la cuota inicial en un plazo irrazonable (día y medio) antes de tener la aprobación formal del crédito hipotecario, lo que generó un alto nivel de estrés.</w:t>
      </w:r>
    </w:p>
    <w:p>
      <w:pPr>
        <w:pStyle w:val="Heading2"/>
      </w:pPr>
      <w:r>
        <w:t>Fricciones Pendientes</w:t>
      </w:r>
    </w:p>
    <w:p>
      <w:r>
        <w:t>La incertidumbre sobre la fecha exacta de inicio de construcción y la posibilidad de un retraso de hasta seis meses en la entrega, como estipula el contrato. El proceso de aprobación final del crédito aún estaba en curso al momento de la entrevista.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