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realiza una compra de inversión con fondos de su AFP, eligiendo un proyecto estratégicamente ubicado cerca de universidades para alquilarlo a estudiantes. La decisión se ve reforzada por la conveniencia para su propia hija y un plan a largo plazo de habitarlo él mismo.</w:t>
      </w:r>
    </w:p>
    <w:p>
      <w:pPr>
        <w:pStyle w:val="Heading1"/>
      </w:pPr>
      <w:r>
        <w:t>Historia Causal</w:t>
      </w:r>
    </w:p>
    <w:p>
      <w:pPr>
        <w:pStyle w:val="Heading2"/>
      </w:pPr>
      <w:r>
        <w:t>Contexto Previo</w:t>
      </w:r>
    </w:p>
    <w:p>
      <w:r>
        <w:t>El cliente vive cómodamente en un departamento propio en Surco con su familia. No tiene ninguna necesidad habitacional presente, ya que su vivienda actual es adecuada. Sus hijas están en la universidad o finalizando sus estudios.</w:t>
      </w:r>
    </w:p>
    <w:p>
      <w:pPr>
        <w:pStyle w:val="Heading2"/>
      </w:pPr>
      <w:r>
        <w:t>Tension Acumulada</w:t>
      </w:r>
    </w:p>
    <w:p>
      <w:r>
        <w:t>La tensión principal era financiera: tener un capital significativo proveniente del retiro de la AFP sin generar rentabilidad. Existía la conciencia de que ese dinero estaba perdiendo valor y la oportunidad de convertirlo en una fuente de ingresos pasivos a través del alquiler.</w:t>
      </w:r>
    </w:p>
    <w:p>
      <w:pPr>
        <w:pStyle w:val="Heading2"/>
      </w:pPr>
      <w:r>
        <w:t>Bloqueadores</w:t>
      </w:r>
    </w:p>
    <w:p>
      <w:r>
        <w:t>El principal bloqueador era la falta de capital líquido para una inversión de esta magnitud. Antes del retiro de los fondos de la AFP, la compra no era una posibilidad real. Una experiencia de inversión previa menos exitosa pudo haber generado cautela.</w:t>
      </w:r>
    </w:p>
    <w:p>
      <w:pPr>
        <w:pStyle w:val="Heading2"/>
      </w:pPr>
      <w:r>
        <w:t>Eventos Habilitadores</w:t>
      </w:r>
    </w:p>
    <w:p>
      <w:r>
        <w:t>El retiro de los fondos de la AFP fue el habilitador económico fundamental. A nivel de mercado, el hecho de que su hija estudiara en la UPC y tuviera amigos alquilando en la zona sirvió como una validación social y de mercado, reduciendo la percepción de riesgo de la inversión.</w:t>
      </w:r>
    </w:p>
    <w:p>
      <w:pPr>
        <w:pStyle w:val="Heading2"/>
      </w:pPr>
      <w:r>
        <w:t>Switching Trigger</w:t>
      </w:r>
    </w:p>
    <w:p>
      <w:r>
        <w:t>La disponibilidad inmediata del capital tras retirar sus fondos de la AFP. La necesidad de asignar ese dinero a una inversión para que no permaneciera ocioso fue el estímulo final que lo movió de la consideración pasiva a la búsqueda activa.</w:t>
      </w:r>
    </w:p>
    <w:p>
      <w:pPr>
        <w:pStyle w:val="Heading2"/>
      </w:pPr>
      <w:r>
        <w:t>Momento De Decision</w:t>
      </w:r>
    </w:p>
    <w:p>
      <w:r>
        <w:t>El proceso de decisión fue extremadamente corto y enfocado. No hubo una comparación extensa de proyectos; la ubicación de WOW se alineaba tan perfectamente con su tesis de inversión (alquiler a estudiantes) que se convirtió en la única opción considerada, llevando a una separación rápida.</w:t>
      </w:r>
    </w:p>
    <w:p>
      <w:pPr>
        <w:pStyle w:val="Heading1"/>
      </w:pPr>
      <w:r>
        <w:t>Contexto Activador</w:t>
      </w:r>
    </w:p>
    <w:p>
      <w:pPr>
        <w:pStyle w:val="Heading2"/>
      </w:pPr>
      <w:r>
        <w:t>Marco General</w:t>
      </w:r>
    </w:p>
    <w:p>
      <w:r>
        <w:t>Padre de familia con situación habitacional resuelta, en una etapa de consolidación patrimonial. Con hijos mayores acercándose a la independencia, empieza a planificar la optimización de sus activos y su propia futura etapa de vida (downsizing), activado por la disponibilidad de un capital de inversión.</w:t>
      </w:r>
    </w:p>
    <w:p>
      <w:pPr>
        <w:pStyle w:val="Heading1"/>
      </w:pPr>
      <w:r>
        <w:t>Logica De Demanda</w:t>
      </w:r>
    </w:p>
    <w:p>
      <w:pPr>
        <w:pStyle w:val="Heading2"/>
      </w:pPr>
      <w:r>
        <w:t>Desired Outcome</w:t>
      </w:r>
    </w:p>
    <w:p>
      <w:r>
        <w:t>Transformar un capital ocioso en un activo productivo que genere ingresos pasivos y se revalorice con el tiempo, manteniendo la opcionalidad de un uso personal a futuro como una vivienda más compacta y funcional.</w:t>
      </w:r>
    </w:p>
    <w:p>
      <w:pPr>
        <w:pStyle w:val="Heading2"/>
      </w:pPr>
      <w:r>
        <w:t>Job Statement</w:t>
      </w:r>
    </w:p>
    <w:p>
      <w:r>
        <w:t>Cuando dispongo de un capital para invertir, quiero comprar un departamento en una ubicación estratégica para asegurar una fuente de renta por alquiler y proteger mi patrimonio a largo plazo.</w:t>
      </w:r>
    </w:p>
    <w:p>
      <w:pPr>
        <w:pStyle w:val="Heading2"/>
      </w:pPr>
      <w:r>
        <w:t>Job Dominante Narrativo</w:t>
      </w:r>
    </w:p>
    <w:p>
      <w:r>
        <w:t>El cliente busca emplear su capital de la AFP en una inversión inmobiliaria segura y rentable. El objetivo es generar un flujo de ingresos a través del alquiler a estudiantes, aprovechando una ubicación de alta demanda, y secundariamente, tener una opción de vivienda más pequeña para su futuro.</w:t>
      </w:r>
    </w:p>
    <w:p>
      <w:pPr>
        <w:pStyle w:val="Heading2"/>
      </w:pPr>
      <w:r>
        <w:t>Job Dominante Canonico</w:t>
      </w:r>
    </w:p>
    <w:p>
      <w:r>
        <w:t>J02: Proteger y flexibilizar el patrimonio</w:t>
      </w:r>
    </w:p>
    <w:p>
      <w:pPr>
        <w:pStyle w:val="Heading2"/>
      </w:pPr>
      <w:r>
        <w:t>Job Secundario Canonico</w:t>
      </w:r>
    </w:p>
    <w:p>
      <w:r>
        <w:t>J04: Acompañar crecimiento familiar</w:t>
      </w:r>
    </w:p>
    <w:p>
      <w:pPr>
        <w:pStyle w:val="Heading1"/>
      </w:pPr>
      <w:r>
        <w:t>Logica De Eleccion</w:t>
      </w:r>
    </w:p>
    <w:p>
      <w:pPr>
        <w:pStyle w:val="Heading2"/>
      </w:pPr>
      <w:r>
        <w:t>Hiring Criteria</w:t>
      </w:r>
    </w:p>
    <w:p>
      <w:r>
        <w:t>El criterio de contratación dominante y casi exclusivo fue la ubicación estratégica del proyecto, por su proximidad a múltiples universidades (UPC, U. de Piura, ESAN), lo que maximiza su atractivo para el alquiler a estudiantes. La tipología flexible (2+flex) y la calidad de las áreas comunes fueron factores de refuerzo.</w:t>
      </w:r>
    </w:p>
    <w:p>
      <w:pPr>
        <w:pStyle w:val="Heading2"/>
      </w:pPr>
      <w:r>
        <w:t>Firing Criteria</w:t>
      </w:r>
    </w:p>
    <w:p>
      <w:r>
        <w:t>Cualquier proyecto que no estuviera en esa zona de influencia universitaria fue automáticamente descartado. No hubo un proceso de descarte activo porque la búsqueda fue dirigida a una única solución que cumplía el criterio principal.</w:t>
      </w:r>
    </w:p>
    <w:p>
      <w:pPr>
        <w:pStyle w:val="Heading2"/>
      </w:pPr>
      <w:r>
        <w:t>Trade Offs Reales</w:t>
      </w:r>
    </w:p>
    <w:p>
      <w:r>
        <w:t>Aceptó el riesgo inherente a una compra en planos, sacrificando la liquidez de su capital y la certeza de plazos a cambio de una potencial mayor rentabilidad. Actualmente, está asumiendo el costo de la incertidumbre y la frustración por los retrasos en la construcción.</w:t>
      </w:r>
    </w:p>
    <w:p>
      <w:pPr>
        <w:pStyle w:val="Heading2"/>
      </w:pPr>
      <w:r>
        <w:t>Factores De Confianza</w:t>
      </w:r>
    </w:p>
    <w:p>
      <w:r>
        <w:t>La buena atención inicial del equipo de ventas, la visita a departamentos terminados de una etapa anterior que le permitió validar la calidad, y la prueba social de que conocidos de su hija ya alquilaban con éxito en la zona.</w:t>
      </w:r>
    </w:p>
    <w:p>
      <w:pPr>
        <w:pStyle w:val="Heading2"/>
      </w:pPr>
      <w:r>
        <w:t>Reduccion De Riesgo</w:t>
      </w:r>
    </w:p>
    <w:p>
      <w:r>
        <w:t>Utilizó su experiencia profesional (ingeniero civil, ex-funcionario municipal) para entender los procesos y riesgos. Negoció activamente la inclusión de una adenda con penalidades por retraso a su favor, mitigando parte del riesgo contractual.</w:t>
      </w:r>
    </w:p>
    <w:p>
      <w:pPr>
        <w:pStyle w:val="Heading1"/>
      </w:pPr>
      <w:r>
        <w:t>Evidencia De Fit</w:t>
      </w:r>
    </w:p>
    <w:p>
      <w:pPr>
        <w:pStyle w:val="Heading2"/>
      </w:pPr>
      <w:r>
        <w:t>Atributos Que Activaron Fit</w:t>
      </w:r>
    </w:p>
    <w:p>
      <w:r>
        <w:t>La ubicación del proyecto fue el atributo principal que generó el encaje perfecto con la demanda de inversión. La tipología flexible (2+flex) se adaptaba bien al plan de alquilar a múltiples estudiantes. La calidad general percibida (acabados, áreas comunes, estacionamientos) validó la decisión.</w:t>
      </w:r>
    </w:p>
    <w:p>
      <w:pPr>
        <w:pStyle w:val="Heading2"/>
      </w:pPr>
      <w:r>
        <w:t>Atributos Secundarios</w:t>
      </w:r>
    </w:p>
    <w:p>
      <w:r>
        <w:t>La buena atención durante la venta fue valorada pero no decisiva. Las áreas comunes son un plus para el atractivo del alquiler y el futuro uso personal, pero la compra se habría realizado incluso con menos amenities debido a la ubicación.</w:t>
      </w:r>
    </w:p>
    <w:p>
      <w:pPr>
        <w:pStyle w:val="Heading2"/>
      </w:pPr>
      <w:r>
        <w:t>Alternativas Descartadas</w:t>
      </w:r>
    </w:p>
    <w:p>
      <w:r>
        <w:t>No se exploraron activamente otras alternativas para esta compra específica. La decisión se centró exclusivamente en el proyecto WOW por su encaje geográfico con la estrategia de inversión.</w:t>
      </w:r>
    </w:p>
    <w:p>
      <w:pPr>
        <w:pStyle w:val="Heading1"/>
      </w:pPr>
      <w:r>
        <w:t>Estado Post Compra</w:t>
      </w:r>
    </w:p>
    <w:p>
      <w:pPr>
        <w:pStyle w:val="Heading2"/>
      </w:pPr>
      <w:r>
        <w:t>Nivel De Satisfaccion</w:t>
      </w:r>
    </w:p>
    <w:p>
      <w:r>
        <w:t>Bajo (7/10 declarado, pero con alta frustración). Hay una clara dicotomía: está satisfecho con el producto/proyecto que compró, pero muy insatisfecho con la gestión post-venta y la falta de certezas.</w:t>
      </w:r>
    </w:p>
    <w:p>
      <w:pPr>
        <w:pStyle w:val="Heading2"/>
      </w:pPr>
      <w:r>
        <w:t>Reservas</w:t>
      </w:r>
    </w:p>
    <w:p>
      <w:r>
        <w:t>La principal reserva es la desconfianza generada por los retrasos y la falta de transparencia de la inmobiliaria sobre el estado de la licencia de construcción. Teme que los plazos se extiendan mucho más, afectando la rentabilidad de su inversión.</w:t>
      </w:r>
    </w:p>
    <w:p>
      <w:pPr>
        <w:pStyle w:val="Heading2"/>
      </w:pPr>
      <w:r>
        <w:t>Fricciones Pendientes</w:t>
      </w:r>
    </w:p>
    <w:p>
      <w:r>
        <w:t>La incertidumbre sobre la fecha de inicio de obra es la fricción crítica. Está en una negociación constante para reprogramar sus pagos y siente que no puede escalar sus reclamos a un nivel superior dentro de la inmobiliaria. También identificó la falta de un seguro de desgravamen para su modalidad de compra.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