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que inicialmente buscaba invertir su capital, encuentra un proyecto que resuelve una necesidad latente de reconfiguración familiar, llevándolos a una compra impulsiva para asegurar un nuevo hogar que se adapte a sus hijos adultos y futuros nietos.</w:t>
      </w:r>
    </w:p>
    <w:p>
      <w:pPr>
        <w:pStyle w:val="Heading1"/>
      </w:pPr>
      <w:r>
        <w:t>Historia Causal</w:t>
      </w:r>
    </w:p>
    <w:p>
      <w:pPr>
        <w:pStyle w:val="Heading2"/>
      </w:pPr>
      <w:r>
        <w:t>Contexto Previo</w:t>
      </w:r>
    </w:p>
    <w:p>
      <w:r>
        <w:t>La familia vive en una casa propia en la zona de Surco, cerca de su negocio. La componen los padres y dos hijos adultos que aún viven con ellos, mientras que un tercero ya se independizó. Tienen capital disponible y una mentalidad de inversión activa, habiendo comprado recientemente un local comercial.</w:t>
      </w:r>
    </w:p>
    <w:p>
      <w:pPr>
        <w:pStyle w:val="Heading2"/>
      </w:pPr>
      <w:r>
        <w:t>Tension Acumulada</w:t>
      </w:r>
    </w:p>
    <w:p>
      <w:r>
        <w:t>Existía una doble tensión: por un lado, la necesidad de hacer rendir el capital disponible a través de inversiones inmobiliarias. Por otro, una tensión familiar latente por la necesidad de independencia de su hijo de 32 años y la futura reorganización de la vida de los padres una vez que los hijos se vayan, lo que implicaría vender la casa actual.</w:t>
      </w:r>
    </w:p>
    <w:p>
      <w:pPr>
        <w:pStyle w:val="Heading2"/>
      </w:pPr>
      <w:r>
        <w:t>Bloqueadores</w:t>
      </w:r>
    </w:p>
    <w:p>
      <w:r>
        <w:t>No existían bloqueadores financieros o de decisión significativos. El principal impedimento era encontrar una oportunidad que satisficiera tanto el criterio de inversión como las necesidades familiares emergentes.</w:t>
      </w:r>
    </w:p>
    <w:p>
      <w:pPr>
        <w:pStyle w:val="Heading2"/>
      </w:pPr>
      <w:r>
        <w:t>Eventos Habilitadores</w:t>
      </w:r>
    </w:p>
    <w:p>
      <w:r>
        <w:t>La disponibilidad de capital y la decisión ya tomada de vender su casa actual fueron los principales habilitadores. Esto les dio la flexibilidad para actuar rápidamente cuando encontraron una opción que consideraron adecuada.</w:t>
      </w:r>
    </w:p>
    <w:p>
      <w:pPr>
        <w:pStyle w:val="Heading2"/>
      </w:pPr>
      <w:r>
        <w:t>Switching Trigger</w:t>
      </w:r>
    </w:p>
    <w:p>
      <w:r>
        <w:t>El detonante fue ver una publicidad online del proyecto WOW. La propuesta de un precio más competitivo que otras opciones y la promesa de mejores áreas comunes activaron una visita inmediata, pasando de una búsqueda pasiva de inversión a una evaluación activa para una compra familiar.</w:t>
      </w:r>
    </w:p>
    <w:p>
      <w:pPr>
        <w:pStyle w:val="Heading2"/>
      </w:pPr>
      <w:r>
        <w:t>Momento De Decision</w:t>
      </w:r>
    </w:p>
    <w:p>
      <w:r>
        <w:t>La decisión fue extremadamente rápida e impulsiva. Visitaron el proyecto y lo compraron el mismo día, sin una investigación profunda y apostando 'a ciegas' porque percibieron un encaje perfecto con sus necesidades familiares y una buena oportunidad de precio. Dieron el adelanto de inmediato para no perder la opción.</w:t>
      </w:r>
    </w:p>
    <w:p>
      <w:pPr>
        <w:pStyle w:val="Heading1"/>
      </w:pPr>
      <w:r>
        <w:t>Contexto Activador</w:t>
      </w:r>
    </w:p>
    <w:p>
      <w:pPr>
        <w:pStyle w:val="Heading2"/>
      </w:pPr>
      <w:r>
        <w:t>Marco General</w:t>
      </w:r>
    </w:p>
    <w:p>
      <w:r>
        <w:t>El cliente opera en un contexto de transición familiar, donde los hijos adultos están en el umbral de la independencia. Esto coexiste con una capacidad económica que les permite buscar activamente oportunidades de inversión. La decisión de compra se activa en la intersección de estas dos realidades: la necesidad de reubicar el capital y la de reestructurar el hogar familiar.</w:t>
      </w:r>
    </w:p>
    <w:p>
      <w:pPr>
        <w:pStyle w:val="Heading1"/>
      </w:pPr>
      <w:r>
        <w:t>Logica De Demanda</w:t>
      </w:r>
    </w:p>
    <w:p>
      <w:pPr>
        <w:pStyle w:val="Heading2"/>
      </w:pPr>
      <w:r>
        <w:t>Desired Outcome</w:t>
      </w:r>
    </w:p>
    <w:p>
      <w:r>
        <w:t>Lograr una transición familiar fluida y segura, reconfigurando su espacio vital para adaptarse a la independencia de los hijos y al mismo tiempo asegurar un activo patrimonial flexible, bien ubicado y que genere valor a largo plazo.</w:t>
      </w:r>
    </w:p>
    <w:p>
      <w:pPr>
        <w:pStyle w:val="Heading2"/>
      </w:pPr>
      <w:r>
        <w:t>Job Statement</w:t>
      </w:r>
    </w:p>
    <w:p>
      <w:r>
        <w:t>Cuando mi estructura familiar está cambiando y mis hijos crecen, quiero encontrar una propiedad que funcione como un nuevo centro de operaciones familiar, para facilitar su vida y asegurar nuestro patrimonio para el futuro.</w:t>
      </w:r>
    </w:p>
    <w:p>
      <w:pPr>
        <w:pStyle w:val="Heading2"/>
      </w:pPr>
      <w:r>
        <w:t>Job Dominante Narrativo</w:t>
      </w:r>
    </w:p>
    <w:p>
      <w:r>
        <w:t>La familia está intentando resolver la inadecuación de su vivienda actual frente a la nueva etapa de vida de sus hijos. La compra no es para 'optimizar' la rutina, sino para reestructurar el 'sistema operativo familiar', proveyendo un espacio para el hijo que necesita independizarse y, finalmente, un nuevo hogar para todos al vender la casa grande.</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Los criterios clave fueron: 1) Ubicación estratégica cerca de universidades para los hijos. 2) Áreas comunes que se ajustaran a los hobbies familiares (cancha de tenis) y futuras visitas (juegos para nietos). 3) Una tipología flexible (2+flex) que pudiera convertirse en 3 dormitorios. 4) Un precio percibido como una oportunidad.</w:t>
      </w:r>
    </w:p>
    <w:p>
      <w:pPr>
        <w:pStyle w:val="Heading2"/>
      </w:pPr>
      <w:r>
        <w:t>Firing Criteria</w:t>
      </w:r>
    </w:p>
    <w:p>
      <w:r>
        <w:t>Descartaron proyectos con precios más elevados aunque tuvieran entrega inmediata (proyecto 'Move'). También habrían descartado cualquier opción que no cumpliera con la configuración de 3 dormitorios o que careciera de las áreas comunes que consideraban esenciales para la dinámica familiar.</w:t>
      </w:r>
    </w:p>
    <w:p>
      <w:pPr>
        <w:pStyle w:val="Heading2"/>
      </w:pPr>
      <w:r>
        <w:t>Trade Offs Reales</w:t>
      </w:r>
    </w:p>
    <w:p>
      <w:r>
        <w:t>Aceptaron el riesgo de comprar un proyecto en planos y una entrega a largo plazo a cambio de un mejor precio. Sacrificaron la debida diligencia, realizando una compra impulsiva sin investigar a fondo la constructora o el proyecto.</w:t>
      </w:r>
    </w:p>
    <w:p>
      <w:pPr>
        <w:pStyle w:val="Heading2"/>
      </w:pPr>
      <w:r>
        <w:t>Factores De Confianza</w:t>
      </w:r>
    </w:p>
    <w:p>
      <w:r>
        <w:t>Inicialmente, no hubo un factor de confianza claro; fue una 'apuesta a ciegas' basada en la percepción de una buena oportunidad. Esta confianza inicial se ha visto severamente erosionada por la mala experiencia post-venta.</w:t>
      </w:r>
    </w:p>
    <w:p>
      <w:pPr>
        <w:pStyle w:val="Heading2"/>
      </w:pPr>
      <w:r>
        <w:t>Reduccion De Riesgo</w:t>
      </w:r>
    </w:p>
    <w:p>
      <w:r>
        <w:t>El riesgo se minimizó mentalmente a través de la flexibilidad del activo: si la mudanza familiar no se concretaba, siempre tenían la opción de alquilarlo, respaldado por su buena ubicación. Esto convertía la compra en una inversión segura en cualquier escenario.</w:t>
      </w:r>
    </w:p>
    <w:p>
      <w:pPr>
        <w:pStyle w:val="Heading1"/>
      </w:pPr>
      <w:r>
        <w:t>Evidencia De Fit</w:t>
      </w:r>
    </w:p>
    <w:p>
      <w:pPr>
        <w:pStyle w:val="Heading2"/>
      </w:pPr>
      <w:r>
        <w:t>Atributos Que Activaron Fit</w:t>
      </w:r>
    </w:p>
    <w:p>
      <w:r>
        <w:t>La combinación de la cancha de tenis, la piscina y los juegos para niños fue decisiva. La ubicación céntrica, con un futuro mall y cercanía a universidades, reforzó la percepción de valor. La distribución 2+flex que permitía 3 dormitorios fue el atributo funcional clave que hizo viable el plan de mudanza familiar.</w:t>
      </w:r>
    </w:p>
    <w:p>
      <w:pPr>
        <w:pStyle w:val="Heading2"/>
      </w:pPr>
      <w:r>
        <w:t>Atributos Secundarios</w:t>
      </w:r>
    </w:p>
    <w:p>
      <w:r>
        <w:t>La marca de la inmobiliaria o la experiencia del vendedor no fueron determinantes. La decisión fue impulsada casi en su totalidad por las características del producto y el precio.</w:t>
      </w:r>
    </w:p>
    <w:p>
      <w:pPr>
        <w:pStyle w:val="Heading2"/>
      </w:pPr>
      <w:r>
        <w:t>Alternativas Descartadas</w:t>
      </w:r>
    </w:p>
    <w:p>
      <w:r>
        <w:t>Descartaron explícitamente el proyecto 'Move' de la misma inmobiliaria por tener un precio más elevado, a pesar de estar terminado. Otras opciones solo fueron vistas superficialmente por internet sin llegar a ser consideradas seriamente.</w:t>
      </w:r>
    </w:p>
    <w:p>
      <w:pPr>
        <w:pStyle w:val="Heading1"/>
      </w:pPr>
      <w:r>
        <w:t>Estado Post Compra</w:t>
      </w:r>
    </w:p>
    <w:p>
      <w:pPr>
        <w:pStyle w:val="Heading2"/>
      </w:pPr>
      <w:r>
        <w:t>Nivel De Satisfaccion</w:t>
      </w:r>
    </w:p>
    <w:p>
      <w:r>
        <w:t>Bajo (4-5 sobre 10). La satisfacción con el producto elegido contrasta fuertemente con la insatisfacción del servicio post-venta.</w:t>
      </w:r>
    </w:p>
    <w:p>
      <w:pPr>
        <w:pStyle w:val="Heading2"/>
      </w:pPr>
      <w:r>
        <w:t>Reservas</w:t>
      </w:r>
    </w:p>
    <w:p>
      <w:r>
        <w:t>Tienen un temor creciente de que el proyecto no se culmine debido a la falta de inicio de obras y a malas experiencias pasadas con otras constructoras. La confianza en la empresa está muy dañada.</w:t>
      </w:r>
    </w:p>
    <w:p>
      <w:pPr>
        <w:pStyle w:val="Heading2"/>
      </w:pPr>
      <w:r>
        <w:t>Fricciones Pendientes</w:t>
      </w:r>
    </w:p>
    <w:p>
      <w:r>
        <w:t>La principal fricción es la total falta de comunicación proactiva y la información contradictoria sobre el inicio de obras. El trato indiferente del personal post-venta ha generado incertidumbre y ansiedad, especialmente ante el compromiso de pagar el saldo total del departamento en diciembre sin ver avances.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