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Compra impulsada por la necesidad de un entorno más seguro y funcional para los hijos, uno adolescente y otro a punto de entrar a la universidad. La decisión se acelera al encontrar un proyecto con una propuesta de valor (amenities, precio, financiamiento directo) que supera ampliamente al mercado y se alinea perfectamente con sus necesidades familiares y financieras.</w:t>
      </w:r>
    </w:p>
    <w:p>
      <w:pPr>
        <w:pStyle w:val="Heading1"/>
      </w:pPr>
      <w:r>
        <w:t>Historia Causal</w:t>
      </w:r>
    </w:p>
    <w:p>
      <w:pPr>
        <w:pStyle w:val="Heading2"/>
      </w:pPr>
      <w:r>
        <w:t>Contexto Previo</w:t>
      </w:r>
    </w:p>
    <w:p>
      <w:r>
        <w:t>La familia vive en un departamento propio en La Calera, una zona que perciben con un entorno sociocultural mixto y con problemas de seguridad. Tienen dos hijos, uno adolescente y otro a punto de iniciar la universidad.</w:t>
      </w:r>
    </w:p>
    <w:p>
      <w:pPr>
        <w:pStyle w:val="Heading2"/>
      </w:pPr>
      <w:r>
        <w:t>Tension Acumulada</w:t>
      </w:r>
    </w:p>
    <w:p>
      <w:r>
        <w:t>Existía una insatisfacción latente con el entorno actual, buscando una mejora sociocultural y mayor seguridad para los hijos. Además, carecían de espacios de esparcimiento de calidad, lo que generaba una preocupación por las actividades de los hijos fuera de casa.</w:t>
      </w:r>
    </w:p>
    <w:p>
      <w:pPr>
        <w:pStyle w:val="Heading2"/>
      </w:pPr>
      <w:r>
        <w:t>Bloqueadores</w:t>
      </w:r>
    </w:p>
    <w:p>
      <w:r>
        <w:t>Los proyectos que habían visto previamente eran demasiado caros para lo que ofrecían o no tenían la distribución adecuada. El principal bloqueador era su aversión total a tomar un crédito hipotecario, lo que limitaba sus opciones a su capital disponible y a facilidades de pago directo.</w:t>
      </w:r>
    </w:p>
    <w:p>
      <w:pPr>
        <w:pStyle w:val="Heading2"/>
      </w:pPr>
      <w:r>
        <w:t>Eventos Habilitadores</w:t>
      </w:r>
    </w:p>
    <w:p>
      <w:r>
        <w:t>La acumulación de capital suficiente para comprar sin banco. La inminente entrada del hijo mayor a la universidad (UPC) creó una necesidad logística concreta. Su experiencia en el sector construcción les permitió evaluar rápidamente la calidad y el valor de la oferta.</w:t>
      </w:r>
    </w:p>
    <w:p>
      <w:pPr>
        <w:pStyle w:val="Heading2"/>
      </w:pPr>
      <w:r>
        <w:t>Switching Trigger</w:t>
      </w:r>
    </w:p>
    <w:p>
      <w:r>
        <w:t>Ver una publicidad en Facebook del proyecto WOW. Esto los llevó de una búsqueda pasiva a una acción inmediata, visitando el proyecto el mismo día sin cita previa.</w:t>
      </w:r>
    </w:p>
    <w:p>
      <w:pPr>
        <w:pStyle w:val="Heading2"/>
      </w:pPr>
      <w:r>
        <w:t>Momento De Decision</w:t>
      </w:r>
    </w:p>
    <w:p>
      <w:r>
        <w:t>La decisión fue extremadamente rápida. Durante la visita, la jefa de ventas les ofreció un precio de Cyber anticipado y, crucialmente, financiamiento directo con la inmobiliaria hasta diciembre. Esta combinación de producto superior, precio de oportunidad y la eliminación del bloqueador financiero los llevó a separar el departamento en ese mismo instante.</w:t>
      </w:r>
    </w:p>
    <w:p>
      <w:pPr>
        <w:pStyle w:val="Heading1"/>
      </w:pPr>
      <w:r>
        <w:t>Contexto Activador</w:t>
      </w:r>
    </w:p>
    <w:p>
      <w:pPr>
        <w:pStyle w:val="Heading2"/>
      </w:pPr>
      <w:r>
        <w:t>Marco General</w:t>
      </w:r>
    </w:p>
    <w:p>
      <w:r>
        <w:t>Son una familia consolidada con hijos en etapas de transición clave (adolescencia, universidad). Tienen una posición económica sólida que les permite comprar sin financiamiento bancario, y una alta sofisticación como compradores debido a su experiencia profesional en construcción. Su sistema de vida gira en torno a la seguridad y el desarrollo de sus hijos, y la optimización de su logística familiar y laboral en la zona de Surco.</w:t>
      </w:r>
    </w:p>
    <w:p>
      <w:pPr>
        <w:pStyle w:val="Heading1"/>
      </w:pPr>
      <w:r>
        <w:t>Logica De Demanda</w:t>
      </w:r>
    </w:p>
    <w:p>
      <w:pPr>
        <w:pStyle w:val="Heading2"/>
      </w:pPr>
      <w:r>
        <w:t>Desired Outcome</w:t>
      </w:r>
    </w:p>
    <w:p>
      <w:r>
        <w:t>Asegurar un entorno familiar que brinde seguridad, oportunidades de desarrollo y conveniencia logística para las nuevas etapas de vida de sus hijos, al tiempo que realizan una inversión patrimonial inteligente y libre de deudas bancarias.</w:t>
      </w:r>
    </w:p>
    <w:p>
      <w:pPr>
        <w:pStyle w:val="Heading2"/>
      </w:pPr>
      <w:r>
        <w:t>Job Statement</w:t>
      </w:r>
    </w:p>
    <w:p>
      <w:r>
        <w:t>Cuando mis hijos crecen y sus necesidades cambian, quiero mudarme a un lugar que les ofrezca un entorno seguro y estimulante, para facilitar su transición a la vida universitaria y adulta.</w:t>
      </w:r>
    </w:p>
    <w:p>
      <w:pPr>
        <w:pStyle w:val="Heading2"/>
      </w:pPr>
      <w:r>
        <w:t>Job Dominante Narrativo</w:t>
      </w:r>
    </w:p>
    <w:p>
      <w:r>
        <w:t>La familia está intentando reconfigurar su sistema de vida para dar soporte a la etapa universitaria de su hijo mayor y garantizar un entorno seguro y con opciones de esparcimiento para su hijo menor, resolviendo así la inadecuación de su vivienda actual para esta nueva fase familiar.</w:t>
      </w:r>
    </w:p>
    <w:p>
      <w:pPr>
        <w:pStyle w:val="Heading2"/>
      </w:pPr>
      <w:r>
        <w:t>Job Dominante Canonico</w:t>
      </w:r>
    </w:p>
    <w:p>
      <w:r>
        <w:t>J04 - Acompañar el crecimiento familiar</w:t>
      </w:r>
    </w:p>
    <w:p>
      <w:pPr>
        <w:pStyle w:val="Heading2"/>
      </w:pPr>
      <w:r>
        <w:t>Job Secundario Canonico</w:t>
      </w:r>
    </w:p>
    <w:p>
      <w:r>
        <w:t>J06 - Expresar identidad y coherencia personal</w:t>
      </w:r>
    </w:p>
    <w:p>
      <w:pPr>
        <w:pStyle w:val="Heading1"/>
      </w:pPr>
      <w:r>
        <w:t>Logica De Eleccion</w:t>
      </w:r>
    </w:p>
    <w:p>
      <w:pPr>
        <w:pStyle w:val="Heading2"/>
      </w:pPr>
      <w:r>
        <w:t>Hiring Criteria</w:t>
      </w:r>
    </w:p>
    <w:p>
      <w:r>
        <w:t>Las áreas comunes tipo club fueron el principal atractivo, seguido de la cercanía a la universidad (UPC) para el hijo. El precio con descuento y, de forma decisiva, la posibilidad de financiamiento directo sin banco fueron los criterios que cerraron la venta.</w:t>
      </w:r>
    </w:p>
    <w:p>
      <w:pPr>
        <w:pStyle w:val="Heading2"/>
      </w:pPr>
      <w:r>
        <w:t>Firing Criteria</w:t>
      </w:r>
    </w:p>
    <w:p>
      <w:r>
        <w:t>Proyectos con mala distribución, áreas comunes básicas o inexistentes, y precios inflados para su oferta. El requisito absoluto de no usar financiamiento bancario descartaba cualquier opción que no ofreciera flexibilidad de pago.</w:t>
      </w:r>
    </w:p>
    <w:p>
      <w:pPr>
        <w:pStyle w:val="Heading2"/>
      </w:pPr>
      <w:r>
        <w:t>Trade Offs Reales</w:t>
      </w:r>
    </w:p>
    <w:p>
      <w:r>
        <w:t>Aceptaron un proceso de compra con alta presión por parte de la vendedora. Más importante, están tolerando una comunicación post-venta deficiente y una falta de flexibilidad para personalizar el departamento, lo cual choca con su perfil profesional.</w:t>
      </w:r>
    </w:p>
    <w:p>
      <w:pPr>
        <w:pStyle w:val="Heading2"/>
      </w:pPr>
      <w:r>
        <w:t>Factores De Confianza</w:t>
      </w:r>
    </w:p>
    <w:p>
      <w:r>
        <w:t>Su propio conocimiento del sector construcción les dio la confianza para reconocer la oportunidad. Investigaron la solidez de la inmobiliaria a través de sus contactos profesionales (Estudio Muñiz), lo que validó la inversión.</w:t>
      </w:r>
    </w:p>
    <w:p>
      <w:pPr>
        <w:pStyle w:val="Heading2"/>
      </w:pPr>
      <w:r>
        <w:t>Reduccion De Riesgo</w:t>
      </w:r>
    </w:p>
    <w:p>
      <w:r>
        <w:t>La principal reducción de riesgo fue evitar la deuda bancaria a largo plazo. El hecho de que el proyecto ofreciera una propuesta de valor tan superior al precio de mercado les dio la sensación de una compra segura y de bajo riesgo financiero.</w:t>
      </w:r>
    </w:p>
    <w:p>
      <w:pPr>
        <w:pStyle w:val="Heading1"/>
      </w:pPr>
      <w:r>
        <w:t>Evidencia De Fit</w:t>
      </w:r>
    </w:p>
    <w:p>
      <w:pPr>
        <w:pStyle w:val="Heading2"/>
      </w:pPr>
      <w:r>
        <w:t>Atributos Que Activaron Fit</w:t>
      </w:r>
    </w:p>
    <w:p>
      <w:r>
        <w:t>Los 4000m² de áreas comunes (piscinas, gimnasio). La ubicación estratégica en Surco, cerca de la UPC, de sus clientes y de su familia. La tipología de 3 dormitorios y 80m² que se ajustaba a sus necesidades. El precio competitivo con cochera incluida.</w:t>
      </w:r>
    </w:p>
    <w:p>
      <w:pPr>
        <w:pStyle w:val="Heading2"/>
      </w:pPr>
      <w:r>
        <w:t>Atributos Secundarios</w:t>
      </w:r>
    </w:p>
    <w:p>
      <w:r>
        <w:t>El diseño específico de los acabados era secundario, ya que planean personalizarlos extensamente. La fecha exacta de entrega no era crítica, dado que no tenían apuro por mudarse.</w:t>
      </w:r>
    </w:p>
    <w:p>
      <w:pPr>
        <w:pStyle w:val="Heading2"/>
      </w:pPr>
      <w:r>
        <w:t>Alternativas Descartadas</w:t>
      </w:r>
    </w:p>
    <w:p>
      <w:r>
        <w:t>El proyecto MUV fue descartado por no tener la tipología deseada disponible y por una distribución poco funcional en las unidades que quedaban. Otros proyectos en La Calera y Camino del Inca fueron descartados por tener un costo similar o mayor con áreas comunes muy inferiores.</w:t>
      </w:r>
    </w:p>
    <w:p>
      <w:pPr>
        <w:pStyle w:val="Heading1"/>
      </w:pPr>
      <w:r>
        <w:t>Estado Post Compra</w:t>
      </w:r>
    </w:p>
    <w:p>
      <w:pPr>
        <w:pStyle w:val="Heading2"/>
      </w:pPr>
      <w:r>
        <w:t>Nivel De Satisfaccion</w:t>
      </w:r>
    </w:p>
    <w:p>
      <w:r>
        <w:t>Alto con el producto adquirido (la compra en sí), pero bajo con el servicio post-venta.</w:t>
      </w:r>
    </w:p>
    <w:p>
      <w:pPr>
        <w:pStyle w:val="Heading2"/>
      </w:pPr>
      <w:r>
        <w:t>Reservas</w:t>
      </w:r>
    </w:p>
    <w:p>
      <w:r>
        <w:t>La principal reserva es la capacidad de la inmobiliaria para gestionar la fase de personalización y construcción, dada la nula comunicación y falta de respuestas técnicas.</w:t>
      </w:r>
    </w:p>
    <w:p>
      <w:pPr>
        <w:pStyle w:val="Heading2"/>
      </w:pPr>
      <w:r>
        <w:t>Fricciones Pendientes</w:t>
      </w:r>
    </w:p>
    <w:p>
      <w:r>
        <w:t>Incertidumbre sobre el inicio real de las obras. Falta de un canal de comunicación efectivo con el área de proyectos para coordinar modificaciones de diseño y acabados antes de la construcción, lo que genera ansiedad y frustración.</w:t>
      </w:r>
    </w:p>
    <w:p>
      <w:pPr>
        <w:pStyle w:val="Heading1"/>
      </w:pPr>
      <w:r>
        <w:t>Proyecto</w:t>
      </w:r>
    </w:p>
    <w:p>
      <w:r>
        <w:t>WOW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