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Pareja que ya convive en alquiler decide comprar su primera propiedad para consolidar su relación y establecer una base de vida. La elección del proyecto se define por las áreas comunes (clubhouse), que consideran el 70% del atractivo, a pesar de una pésima experiencia postventa.</w:t>
      </w:r>
    </w:p>
    <w:p>
      <w:pPr>
        <w:pStyle w:val="Heading1"/>
      </w:pPr>
      <w:r>
        <w:t>Historia Causal</w:t>
      </w:r>
    </w:p>
    <w:p>
      <w:pPr>
        <w:pStyle w:val="Heading2"/>
      </w:pPr>
      <w:r>
        <w:t>Contexto Previo</w:t>
      </w:r>
    </w:p>
    <w:p>
      <w:r>
        <w:t>Andrés y su pareja convivían en un departamento alquilado en Surco. Tenían una relación estable de varios años y un sistema de vida ya establecido en esa zona.</w:t>
      </w:r>
    </w:p>
    <w:p>
      <w:pPr>
        <w:pStyle w:val="Heading2"/>
      </w:pPr>
      <w:r>
        <w:t>Tension Acumulada</w:t>
      </w:r>
    </w:p>
    <w:p>
      <w:r>
        <w:t>Sentían que era el momento de dar el siguiente paso en su relación, pasando de la transitoriedad del alquiler a la estabilidad de una propiedad propia para consolidar su vida en común y proyectar un futuro que incluía tener hijos.</w:t>
      </w:r>
    </w:p>
    <w:p>
      <w:pPr>
        <w:pStyle w:val="Heading2"/>
      </w:pPr>
      <w:r>
        <w:t>Bloqueadores</w:t>
      </w:r>
    </w:p>
    <w:p>
      <w:r>
        <w:t>La principal barrera fue una coyuntura de tasas de interés bancarias muy altas, lo que los hizo retrasar la ejecución de la compra a pesar de ya haber separado el departamento.</w:t>
      </w:r>
    </w:p>
    <w:p>
      <w:pPr>
        <w:pStyle w:val="Heading2"/>
      </w:pPr>
      <w:r>
        <w:t>Eventos Habilitadores</w:t>
      </w:r>
    </w:p>
    <w:p>
      <w:r>
        <w:t>El cambio clave fue la bajada de las tasas de interés, lo que les permitió recibir una mejor oferta de un banco y viabilizar financieramente la compra que ya tenían decidida.</w:t>
      </w:r>
    </w:p>
    <w:p>
      <w:pPr>
        <w:pStyle w:val="Heading2"/>
      </w:pPr>
      <w:r>
        <w:t>Switching Trigger</w:t>
      </w:r>
    </w:p>
    <w:p>
      <w:r>
        <w:t>La mejora en las condiciones crediticias (bajada de tasas) fue el detonante final que les permitió ejecutar la compra que habían puesto en pausa, convirtiendo la intención en una acción concreta.</w:t>
      </w:r>
    </w:p>
    <w:p>
      <w:pPr>
        <w:pStyle w:val="Heading2"/>
      </w:pPr>
      <w:r>
        <w:t>Momento De Decision</w:t>
      </w:r>
    </w:p>
    <w:p>
      <w:r>
        <w:t>La búsqueda fue activa pero informal en zonas de interés (Surco, San Borja). Encontraron el proyecto por casualidad mientras monitoreaban el área. La decisión fue rápida, influenciada por la entrega inmediata, el precio y el atractivo del proyecto, aunque la formalización se retrasó por las tasas.</w:t>
      </w:r>
    </w:p>
    <w:p>
      <w:pPr>
        <w:pStyle w:val="Heading1"/>
      </w:pPr>
      <w:r>
        <w:t>Contexto Activador</w:t>
      </w:r>
    </w:p>
    <w:p>
      <w:pPr>
        <w:pStyle w:val="Heading2"/>
      </w:pPr>
      <w:r>
        <w:t>Marco General</w:t>
      </w:r>
    </w:p>
    <w:p>
      <w:r>
        <w:t>Pareja joven profesional, con una relación consolidada y viviendo juntos en alquiler. Buscan dar un paso estructural en su vida en común, estableciendo una base patrimonial y habitacional propia, con una visión a futuro que incluye formar una familia.</w:t>
      </w:r>
    </w:p>
    <w:p>
      <w:pPr>
        <w:pStyle w:val="Heading1"/>
      </w:pPr>
      <w:r>
        <w:t>Logica De Demanda</w:t>
      </w:r>
    </w:p>
    <w:p>
      <w:pPr>
        <w:pStyle w:val="Heading2"/>
      </w:pPr>
      <w:r>
        <w:t>Desired Outcome</w:t>
      </w:r>
    </w:p>
    <w:p>
      <w:r>
        <w:t>Consolidar su relación y establecer una base de vida permanente y propia, dejando atrás la etapa de alquiler para construir un futuro juntos.</w:t>
      </w:r>
    </w:p>
    <w:p>
      <w:pPr>
        <w:pStyle w:val="Heading2"/>
      </w:pPr>
      <w:r>
        <w:t>Job Statement</w:t>
      </w:r>
    </w:p>
    <w:p>
      <w:r>
        <w:t>Cuando llevamos varios años de relación y convivimos en alquiler, quiero comprar un lugar propio para consolidar nuestra vida en común y establecer una base estable para el futuro.</w:t>
      </w:r>
    </w:p>
    <w:p>
      <w:pPr>
        <w:pStyle w:val="Heading2"/>
      </w:pPr>
      <w:r>
        <w:t>Job Dominante Narrativo</w:t>
      </w:r>
    </w:p>
    <w:p>
      <w:r>
        <w:t>La compra está impulsada por la necesidad de marcar un hito en su relación, pasando de una solución habitacional temporal (alquiler) a una permanente y propia. Es un acto de consolidación de pareja y de construcción de un futuro compartido.</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El principal criterio de contratación fue el clubhouse, que consideraron el 70% del atractivo del proyecto (gimnasio, piscina, cancha de tenis). La ubicación en una zona de interés (Surco) y la proyección de espacio para futuros hijos también fueron clave.</w:t>
      </w:r>
    </w:p>
    <w:p>
      <w:pPr>
        <w:pStyle w:val="Heading2"/>
      </w:pPr>
      <w:r>
        <w:t>Firing Criteria</w:t>
      </w:r>
    </w:p>
    <w:p>
      <w:r>
        <w:t>Descartaron un proyecto similar en San Isidro explícitamente por el tráfico 'inviable' de la zona, lo que afectaría su calidad de vida diaria.</w:t>
      </w:r>
    </w:p>
    <w:p>
      <w:pPr>
        <w:pStyle w:val="Heading2"/>
      </w:pPr>
      <w:r>
        <w:t>Trade Offs Reales</w:t>
      </w:r>
    </w:p>
    <w:p>
      <w:r>
        <w:t>El principal sacrificio fue la ubicación, que no es ideal para su trabajo, pero lo compensan con el teletrabajo. Aceptaron un departamento en primer piso con terraza, que no era una búsqueda inicial pero resultó versátil.</w:t>
      </w:r>
    </w:p>
    <w:p>
      <w:pPr>
        <w:pStyle w:val="Heading2"/>
      </w:pPr>
      <w:r>
        <w:t>Factores De Confianza</w:t>
      </w:r>
    </w:p>
    <w:p>
      <w:r>
        <w:t>La entrega inmediata del proyecto redujo la incertidumbre. La posibilidad de ver el producto terminado y las áreas comunes funcionando fue un factor decisivo.</w:t>
      </w:r>
    </w:p>
    <w:p>
      <w:pPr>
        <w:pStyle w:val="Heading2"/>
      </w:pPr>
      <w:r>
        <w:t>Reduccion De Riesgo</w:t>
      </w:r>
    </w:p>
    <w:p>
      <w:r>
        <w:t>Esperar a que las tasas de interés bajaran para obtener una mejor oferta bancaria fue su principal estrategia para mitigar el riesgo financiero.</w:t>
      </w:r>
    </w:p>
    <w:p>
      <w:pPr>
        <w:pStyle w:val="Heading1"/>
      </w:pPr>
      <w:r>
        <w:t>Evidencia De Fit</w:t>
      </w:r>
    </w:p>
    <w:p>
      <w:pPr>
        <w:pStyle w:val="Heading2"/>
      </w:pPr>
      <w:r>
        <w:t>Atributos Que Activaron Fit</w:t>
      </w:r>
    </w:p>
    <w:p>
      <w:r>
        <w:t>El clubhouse con sus amenities (cancha de tenis, gimnasio, piscina) fue el factor determinante. La sensación de vivir en una 'burbuja' donde no necesitan salir para muchas actividades.</w:t>
      </w:r>
    </w:p>
    <w:p>
      <w:pPr>
        <w:pStyle w:val="Heading2"/>
      </w:pPr>
      <w:r>
        <w:t>Atributos Secundarios</w:t>
      </w:r>
    </w:p>
    <w:p>
      <w:r>
        <w:t>La terraza/jardín del primer piso, que ofrece versatilidad. El precio, que consideraron bueno para el espacio.</w:t>
      </w:r>
    </w:p>
    <w:p>
      <w:pPr>
        <w:pStyle w:val="Heading2"/>
      </w:pPr>
      <w:r>
        <w:t>Alternativas Descartadas</w:t>
      </w:r>
    </w:p>
    <w:p>
      <w:r>
        <w:t>Un proyecto en San Isidro, descartado por el tráfico. La opción de seguir alquilando fue descartada por el deseo de consolidar la relación.</w:t>
      </w:r>
    </w:p>
    <w:p>
      <w:pPr>
        <w:pStyle w:val="Heading1"/>
      </w:pPr>
      <w:r>
        <w:t>Estado Post Compra</w:t>
      </w:r>
    </w:p>
    <w:p>
      <w:pPr>
        <w:pStyle w:val="Heading2"/>
      </w:pPr>
      <w:r>
        <w:t>Nivel De Satisfaccion</w:t>
      </w:r>
    </w:p>
    <w:p>
      <w:r>
        <w:t>Muy alta con el proyecto (8/10) pero extremadamente baja con la inmobiliaria (2/10).</w:t>
      </w:r>
    </w:p>
    <w:p>
      <w:pPr>
        <w:pStyle w:val="Heading2"/>
      </w:pPr>
      <w:r>
        <w:t>Reservas</w:t>
      </w:r>
    </w:p>
    <w:p>
      <w:r>
        <w:t>Preocupación por la futura sobrepoblación del clubhouse cuando se entreguen las siguientes etapas. El deterioro de las áreas comunes en comparación a su estado original.</w:t>
      </w:r>
    </w:p>
    <w:p>
      <w:pPr>
        <w:pStyle w:val="Heading2"/>
      </w:pPr>
      <w:r>
        <w:t>Fricciones Pendientes</w:t>
      </w:r>
    </w:p>
    <w:p>
      <w:r>
        <w:t>Una pésima experiencia con el servicio postventa. Averías reportadas hace un año (marmolería manchada, pintura) sin solución. Canales de reclamo ineficaces. Deuda de la inmobiliaria con la administración que afecta el mantenimiento.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