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 cliente con intención de inversión (J02) es capturado por la propuesta de valor aspiracional de un proyecto (atributos J06), lo que lo lleva a una compra rápida. La experiencia post-venta, marcada por la desorganización y falta de comunicación, genera una fuerte fricción que contrasta con la alta valoración del concepto del producto.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El cliente vive con sus padres en un departamento propio, tiene una situación económica estable, sin deudas y con un excedente de capital que ya invierte en otros activos. No tiene ninguna necesidad o urgencia habitacional.</w:t>
      </w:r>
    </w:p>
    <w:p>
      <w:pPr>
        <w:pStyle w:val="Heading2"/>
      </w:pPr>
      <w:r>
        <w:t>Tension Acumulada</w:t>
      </w:r>
    </w:p>
    <w:p>
      <w:r>
        <w:t>La tensión principal era el costo de oportunidad de tener capital sin generar la rentabilidad que una inversión inmobiliaria podría ofrecer. Era una búsqueda pasiva y latente, sin una urgencia definida, que se extendió por 2-3 años.</w:t>
      </w:r>
    </w:p>
    <w:p>
      <w:pPr>
        <w:pStyle w:val="Heading2"/>
      </w:pPr>
      <w:r>
        <w:t>Bloqueadores</w:t>
      </w:r>
    </w:p>
    <w:p>
      <w:r>
        <w:t>El principal bloqueador era la falta de una opción de inversión que realmente lo motivara. Los proyectos que había visto en ferias o por internet eran genéricos y no presentaban un diferenciador claro que justificara la acción.</w:t>
      </w:r>
    </w:p>
    <w:p>
      <w:pPr>
        <w:pStyle w:val="Heading2"/>
      </w:pPr>
      <w:r>
        <w:t>Eventos Habilitadores</w:t>
      </w:r>
    </w:p>
    <w:p>
      <w:r>
        <w:t>La estabilidad financiera, la ausencia de deudas y la disponibilidad de capital para la cuota inicial, junto con la pre-aprobación de créditos bancarios, eran las condiciones que habilitaban la posibilidad de compra en cualquier momento.</w:t>
      </w:r>
    </w:p>
    <w:p>
      <w:pPr>
        <w:pStyle w:val="Heading2"/>
      </w:pPr>
      <w:r>
        <w:t>Switching Trigger</w:t>
      </w:r>
    </w:p>
    <w:p>
      <w:r>
        <w:t>Ver una publicidad del proyecto WOW en Facebook. El anuncio destacaba el 'concepto de club' y las canchas de tenis, lo que resonó con sus intereses personales y lo impulsó a pasar de una búsqueda pasiva a una acción concreta.</w:t>
      </w:r>
    </w:p>
    <w:p>
      <w:pPr>
        <w:pStyle w:val="Heading2"/>
      </w:pPr>
      <w:r>
        <w:t>Momento De Decision</w:t>
      </w:r>
    </w:p>
    <w:p>
      <w:r>
        <w:t>La decisión fue muy rápida. Tras ver el anuncio, visitó el proyecto y el concepto lo convenció casi de inmediato. A pesar de notar que los acabados eran estándar y de experimentar presión del vendedor, separó la unidad y firmó la minuta en menos de dos semanas.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Su sistema de vida es estable y sin presiones habitacionales, operando desde una base segura (vivienda propia familiar). La decisión está condicionada por su capacidad financiera y su mentalidad de inversor. El Job se activa cuando una oportunidad de inversión (el proyecto WOW) se presenta con atributos tan deseables que no solo parece rentable, sino también aspiracional.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activo patrimonial que sea a la vez una inversión financieramente sólida y un lugar deseable, ofreciendo flexibilidad para generar renta o para un eventual uso personal o familiar en el futuro.</w:t>
      </w:r>
    </w:p>
    <w:p>
      <w:pPr>
        <w:pStyle w:val="Heading2"/>
      </w:pPr>
      <w:r>
        <w:t>Job Statement</w:t>
      </w:r>
    </w:p>
    <w:p>
      <w:r>
        <w:t>Cuando tengo un capital excedente y busco diversificar mis inversiones, quiero encontrar un proyecto inmobiliario con un concepto único y fuerte, para poder colocar mi dinero en un activo seguro, rentable y con alta deseabilidad a largo plazo.</w:t>
      </w:r>
    </w:p>
    <w:p>
      <w:pPr>
        <w:pStyle w:val="Heading2"/>
      </w:pPr>
      <w:r>
        <w:t>Job Dominante Narrativo</w:t>
      </w:r>
    </w:p>
    <w:p>
      <w:r>
        <w:t>El cliente está intentando convertir su capital líquido en un activo físico para protegerlo de la inflación y generar ingresos pasivos. La compra es una decisión financiera, donde el 'atractivo' del producto es un proxy de su valor y potencial de revalorización.</w:t>
      </w:r>
    </w:p>
    <w:p>
      <w:pPr>
        <w:pStyle w:val="Heading2"/>
      </w:pPr>
      <w:r>
        <w:t>Job Dominante Canonico</w:t>
      </w:r>
    </w:p>
    <w:p>
      <w:r>
        <w:t>J02: Proteger y flexibilizar el patrimonio</w:t>
      </w:r>
    </w:p>
    <w:p>
      <w:pPr>
        <w:pStyle w:val="Heading2"/>
      </w:pPr>
      <w:r>
        <w:t>Job Secundario Canonico</w:t>
      </w:r>
    </w:p>
    <w:p>
      <w:r>
        <w:t>J06: Expresar identidad y coherencia personal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El 'concepto de club', la presencia de canchas de tenis, y que el edificio fuera de baja altura (máximo 10 pisos). La tipología de 'un dormitorio más flex' también fue clave por la opcionalidad futura.</w:t>
      </w:r>
    </w:p>
    <w:p>
      <w:pPr>
        <w:pStyle w:val="Heading2"/>
      </w:pPr>
      <w:r>
        <w:t>Firing Criteria</w:t>
      </w:r>
    </w:p>
    <w:p>
      <w:r>
        <w:t>Edificios de más de 10 pisos (por malas experiencias con la gestión de condominios), proyectos sin un concepto diferenciador, y la relación precio/tamaño de distritos como Miraflores.</w:t>
      </w:r>
    </w:p>
    <w:p>
      <w:pPr>
        <w:pStyle w:val="Heading2"/>
      </w:pPr>
      <w:r>
        <w:t>Trade Offs Reales</w:t>
      </w:r>
    </w:p>
    <w:p>
      <w:r>
        <w:t>Aceptó acabados y materiales que consideró 'simples'. Soportó un proceso de venta y post-venta muy desorganizado, con múltiples cambios de vendedor, errores en la comunicación y cambios en la estructura legal del proyecto (de fideicomiso a razón social).</w:t>
      </w:r>
    </w:p>
    <w:p>
      <w:pPr>
        <w:pStyle w:val="Heading2"/>
      </w:pPr>
      <w:r>
        <w:t>Factores De Confianza</w:t>
      </w:r>
    </w:p>
    <w:p>
      <w:r>
        <w:t>La confianza no provino del proceso ni de los vendedores, sino casi exclusivamente de la solidez percibida en el 'concepto' del producto. La visita al piloto y ver las instalaciones existentes de etapas anteriores reforzó esta confianza en el producto.</w:t>
      </w:r>
    </w:p>
    <w:p>
      <w:pPr>
        <w:pStyle w:val="Heading2"/>
      </w:pPr>
      <w:r>
        <w:t>Reduccion De Riesgo</w:t>
      </w:r>
    </w:p>
    <w:p>
      <w:r>
        <w:t>Irónicamente, el riesgo no fue reducido por la inmobiliaria, sino gestionado activamente por el cliente. Tuvo que ser proactivo para obtener información, corregir sus datos de contacto y hacer seguimiento, dependiendo más del banco que de la propia empresa para saber el estado del proyecto.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El concepto de club, las canchas de tenis y squash, la piscina, los parques y las zonas de juegos. La arquitectura de baja altura y la distribución del departamento (1 dorm + flex) encajaron perfectamente con sus criterios.</w:t>
      </w:r>
    </w:p>
    <w:p>
      <w:pPr>
        <w:pStyle w:val="Heading2"/>
      </w:pPr>
      <w:r>
        <w:t>Atributos Secundarios</w:t>
      </w:r>
    </w:p>
    <w:p>
      <w:r>
        <w:t>La cercanía al trabajo fue una coincidencia, no un factor de decisión. La domótica, que se ofreció a clientes posteriores, fue un punto de fricción pero no un deal-breaker.</w:t>
      </w:r>
    </w:p>
    <w:p>
      <w:pPr>
        <w:pStyle w:val="Heading2"/>
      </w:pPr>
      <w:r>
        <w:t>Alternativas Descartadas</w:t>
      </w:r>
    </w:p>
    <w:p>
      <w:r>
        <w:t>Descartó un proyecto en Angamos con Panamericana y otros en San Borja por no tener un concepto comparable. Miraflores fue descartado por la relación precio/espacio. La opción 'Move' de la misma inmobiliaria fue descartada por ser de entrega inmediata, ya que él podía esperar.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Dual. Muy alta con el concepto del proyecto (lo recomendaría), pero baja con la atención y gestión de la inmobiliaria, calificándola con un 6/10 (neutral) debido a la pésima comunicación y seguimiento.</w:t>
      </w:r>
    </w:p>
    <w:p>
      <w:pPr>
        <w:pStyle w:val="Heading2"/>
      </w:pPr>
      <w:r>
        <w:t>Reservas</w:t>
      </w:r>
    </w:p>
    <w:p>
      <w:r>
        <w:t>La principal reserva es la desconfianza generada por la mala gestión post-venta. Teme que la desorganización continúe hasta la entrega y más allá. Le preocupa la falta de un punto de contacto estable y la incertidumbre sobre fechas clave.</w:t>
      </w:r>
    </w:p>
    <w:p>
      <w:pPr>
        <w:pStyle w:val="Heading2"/>
      </w:pPr>
      <w:r>
        <w:t>Fricciones Pendientes</w:t>
      </w:r>
    </w:p>
    <w:p>
      <w:r>
        <w:t>La gestión de la compra de la cochera y el depósito sigue abierta. Hay incertidumbre sobre la fecha exacta del desembolso del crédito hipotecario y la fecha final de entrega del departamento. Además, existen discrepancias en su minuta que necesitan ser actualizadas.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