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Summary Ejecutivo</w:t>
      </w:r>
    </w:p>
    <w:p>
      <w:r>
        <w:t>Clienta con renuencia a la compra por su estilo de vida viajero es impulsada a invertir al tomar conciencia del alto costo de oportunidad del alquiler. Elige un proyecto que ya conocía por su potencial de rentabilidad y sus beneficios funcionales, transformando un gasto en un activo flexible.</w:t>
      </w:r>
    </w:p>
    <w:p>
      <w:pPr>
        <w:pStyle w:val="Heading1"/>
      </w:pPr>
      <w:r>
        <w:t>Historia Causal</w:t>
      </w:r>
    </w:p>
    <w:p>
      <w:pPr>
        <w:pStyle w:val="Heading2"/>
      </w:pPr>
      <w:r>
        <w:t>Contexto Previo</w:t>
      </w:r>
    </w:p>
    <w:p>
      <w:r>
        <w:t>Vivía alquilada en el mismo complejo (Magna House) y conocía su funcionamiento. Tenía una fuerte convicción personal de no comprar una propiedad para no atarse, debido a sus frecuentes viajes y la posibilidad de no residir permanentemente en Perú.</w:t>
      </w:r>
    </w:p>
    <w:p>
      <w:pPr>
        <w:pStyle w:val="Heading2"/>
      </w:pPr>
      <w:r>
        <w:t>Tension Acumulada</w:t>
      </w:r>
    </w:p>
    <w:p>
      <w:r>
        <w:t>La tensión principal era la disonancia entre su deseo de flexibilidad y la creciente conciencia de que los pagos mensuales de alquiler eran un gasto significativo que no generaba ningún tipo de patrimonio a largo plazo.</w:t>
      </w:r>
    </w:p>
    <w:p>
      <w:pPr>
        <w:pStyle w:val="Heading2"/>
      </w:pPr>
      <w:r>
        <w:t>Bloqueadores</w:t>
      </w:r>
    </w:p>
    <w:p>
      <w:r>
        <w:t>El principal bloqueador era su propia mentalidad y estilo de vida. Su identidad como persona que viaja mucho creaba una barrera psicológica contra el compromiso a largo plazo que representa una hipoteca y una propiedad.</w:t>
      </w:r>
    </w:p>
    <w:p>
      <w:pPr>
        <w:pStyle w:val="Heading2"/>
      </w:pPr>
      <w:r>
        <w:t>Eventos Habilitadores</w:t>
      </w:r>
    </w:p>
    <w:p>
      <w:r>
        <w:t>La conversación con su hermana fue crucial, ya que la impulsó a analizar financieramente cuánto había gastado en alquiler. Este cálculo reveló que la suma superaba el costo de una cuota inicial, lo que cambió su perspectiva del problema. Vivir temporalmente con su hermana también le dio un colchón financiero.</w:t>
      </w:r>
    </w:p>
    <w:p>
      <w:pPr>
        <w:pStyle w:val="Heading2"/>
      </w:pPr>
      <w:r>
        <w:t>Switching Trigger</w:t>
      </w:r>
    </w:p>
    <w:p>
      <w:r>
        <w:t>El momento exacto en que pasa de la inacción a la acción es la realización cuantitativa: 'he pagado más que una cuota inicial'. Este dato concreto y personal transformó la compra de una atadura a una decisión financiera inteligente.</w:t>
      </w:r>
    </w:p>
    <w:p>
      <w:pPr>
        <w:pStyle w:val="Heading2"/>
      </w:pPr>
      <w:r>
        <w:t>Momento De Decision</w:t>
      </w:r>
    </w:p>
    <w:p>
      <w:r>
        <w:t>El proceso fue extremadamente rápido. Una vez convencida de la lógica de inversión, y con la recomendación de su hermana de considerar el proyecto que ya conocía, visitó el lunes y separó el martes. La familiaridad con el producto eliminó la necesidad de una búsqueda extensa.</w:t>
      </w:r>
    </w:p>
    <w:p>
      <w:pPr>
        <w:pStyle w:val="Heading1"/>
      </w:pPr>
      <w:r>
        <w:t>Contexto Activador</w:t>
      </w:r>
    </w:p>
    <w:p>
      <w:pPr>
        <w:pStyle w:val="Heading2"/>
      </w:pPr>
      <w:r>
        <w:t>Marco General</w:t>
      </w:r>
    </w:p>
    <w:p>
      <w:r>
        <w:t>Profesional que valora la flexibilidad y los viajes, pero se enfrenta a la realidad financiera de vivir en una ciudad cara. Su sistema de vida actual es transicional (viviendo con su hermana), lo que le permite ahorrar. La decisión se activa cuando la lógica de inversión supera su aversión al compromiso, en un entorno de confianza familiar y conocimiento previo del producto.</w:t>
      </w:r>
    </w:p>
    <w:p>
      <w:pPr>
        <w:pStyle w:val="Heading1"/>
      </w:pPr>
      <w:r>
        <w:t>Logica De Demanda</w:t>
      </w:r>
    </w:p>
    <w:p>
      <w:pPr>
        <w:pStyle w:val="Heading2"/>
      </w:pPr>
      <w:r>
        <w:t>Desired Outcome</w:t>
      </w:r>
    </w:p>
    <w:p>
      <w:r>
        <w:t>Lograr seguridad patrimonial y flexibilidad financiera, convirtiendo un gasto operativo (alquiler) en un activo que pueda generar ingresos y que no la limite geográficamente en el futuro.</w:t>
      </w:r>
    </w:p>
    <w:p>
      <w:pPr>
        <w:pStyle w:val="Heading2"/>
      </w:pPr>
      <w:r>
        <w:t>Job Statement</w:t>
      </w:r>
    </w:p>
    <w:p>
      <w:r>
        <w:t>Cuando me doy cuenta de que el dinero del alquiler es un gasto sin retorno, quiero invertir en una propiedad con alta demanda de alquiler, para poder construir patrimonio y mantener la libertad de viajar sin sentir que estoy perdiendo dinero.</w:t>
      </w:r>
    </w:p>
    <w:p>
      <w:pPr>
        <w:pStyle w:val="Heading2"/>
      </w:pPr>
      <w:r>
        <w:t>Job Dominante Narrativo</w:t>
      </w:r>
    </w:p>
    <w:p>
      <w:r>
        <w:t>La clienta está tratando de dejar de 'quemar' dinero en alquiler para empezar a construir un patrimonio sólido. Busca una solución que le ofrezca la seguridad de una inversión inmobiliaria sin sacrificar la flexibilidad que valora en su estilo de vida.</w:t>
      </w:r>
    </w:p>
    <w:p>
      <w:pPr>
        <w:pStyle w:val="Heading2"/>
      </w:pPr>
      <w:r>
        <w:t>Job Dominante Canonico</w:t>
      </w:r>
    </w:p>
    <w:p>
      <w:r>
        <w:t>J02: Proteger y flexibilizar el patrimonio</w:t>
      </w:r>
    </w:p>
    <w:p>
      <w:pPr>
        <w:pStyle w:val="Heading2"/>
      </w:pPr>
      <w:r>
        <w:t>Job Secundario Canonico</w:t>
      </w:r>
    </w:p>
    <w:p>
      <w:r>
        <w:t>J03: Optimizar la vida cotidiana</w:t>
      </w:r>
    </w:p>
    <w:p>
      <w:pPr>
        <w:pStyle w:val="Heading1"/>
      </w:pPr>
      <w:r>
        <w:t>Logica De Eleccion</w:t>
      </w:r>
    </w:p>
    <w:p>
      <w:pPr>
        <w:pStyle w:val="Heading2"/>
      </w:pPr>
      <w:r>
        <w:t>Hiring Criteria</w:t>
      </w:r>
    </w:p>
    <w:p>
      <w:r>
        <w:t>La alta demanda de alquiler en la zona (comprobada personalmente), la cercanía al trabajo, las amenidades superiores (gimnasio, piscina) y la baja densidad del edificio (menos pisos, menos saturación) fueron los criterios clave para contratar WOW.</w:t>
      </w:r>
    </w:p>
    <w:p>
      <w:pPr>
        <w:pStyle w:val="Heading2"/>
      </w:pPr>
      <w:r>
        <w:t>Firing Criteria</w:t>
      </w:r>
    </w:p>
    <w:p>
      <w:r>
        <w:t>Descartó automáticamente proyectos en edificios muy altos y saturados, con mala iluminación (interiores) y con áreas comunes que no cumplían con sus estándares. También descartó opciones más caras por estar ya terminadas (Move).</w:t>
      </w:r>
    </w:p>
    <w:p>
      <w:pPr>
        <w:pStyle w:val="Heading2"/>
      </w:pPr>
      <w:r>
        <w:t>Trade Offs Reales</w:t>
      </w:r>
    </w:p>
    <w:p>
      <w:r>
        <w:t>El principal trade-off fue superar su propia resistencia a comprar y comprometerse financieramente. Aceptó esperar un año por la entrega del proyecto y eligió una unidad más cara a cambio de mejor iluminación y vista.</w:t>
      </w:r>
    </w:p>
    <w:p>
      <w:pPr>
        <w:pStyle w:val="Heading2"/>
      </w:pPr>
      <w:r>
        <w:t>Factores De Confianza</w:t>
      </w:r>
    </w:p>
    <w:p>
      <w:r>
        <w:t>La confianza provino de dos fuentes principales: la persuasión y validación de su hermana, y su experiencia previa de 4 años viviendo en el mismo complejo, lo que le daba un conocimiento profundo del producto, la administración y la demanda de alquiler.</w:t>
      </w:r>
    </w:p>
    <w:p>
      <w:pPr>
        <w:pStyle w:val="Heading2"/>
      </w:pPr>
      <w:r>
        <w:t>Reduccion De Riesgo</w:t>
      </w:r>
    </w:p>
    <w:p>
      <w:r>
        <w:t>El riesgo se minimizó al elegir un producto que ya conocía íntimamente. Sabía que era una buena inversión porque había visto de primera mano la rapidez con la que se alquilaban los departamentos. No había incertidumbre sobre la calidad de vida o el potencial de mercado.</w:t>
      </w:r>
    </w:p>
    <w:p>
      <w:pPr>
        <w:pStyle w:val="Heading1"/>
      </w:pPr>
      <w:r>
        <w:t>Evidencia De Fit</w:t>
      </w:r>
    </w:p>
    <w:p>
      <w:pPr>
        <w:pStyle w:val="Heading2"/>
      </w:pPr>
      <w:r>
        <w:t>Atributos Que Activaron Fit</w:t>
      </w:r>
    </w:p>
    <w:p>
      <w:r>
        <w:t>La combinación de ubicación estratégica (cerca al trabajo y universidades), amenidades de alta calidad (gimnasio y piscina semiolímpica), y un diseño de baja densidad (pocos pisos) encajó perfectamente con sus criterios de selección, tanto para vivir como para invertir.</w:t>
      </w:r>
    </w:p>
    <w:p>
      <w:pPr>
        <w:pStyle w:val="Heading2"/>
      </w:pPr>
      <w:r>
        <w:t>Atributos Secundarios</w:t>
      </w:r>
    </w:p>
    <w:p>
      <w:r>
        <w:t>La atención amable del personal de ventas y la posibilidad de visitar los departamentos modelo fueron factores positivos que reforzaron la decisión, pero no fueron los impulsores principales.</w:t>
      </w:r>
    </w:p>
    <w:p>
      <w:pPr>
        <w:pStyle w:val="Heading2"/>
      </w:pPr>
      <w:r>
        <w:t>Alternativas Descartadas</w:t>
      </w:r>
    </w:p>
    <w:p>
      <w:r>
        <w:t>Descartó otros proyectos vistos en ferias inmobiliarias por ser edificios muy altos, saturados y con mala iluminación. El proyecto Move, del mismo desarrollador, fue descartado por tener un precio más elevado al estar ya terminado.</w:t>
      </w:r>
    </w:p>
    <w:p>
      <w:pPr>
        <w:pStyle w:val="Heading1"/>
      </w:pPr>
      <w:r>
        <w:t>Estado Post Compra</w:t>
      </w:r>
    </w:p>
    <w:p>
      <w:pPr>
        <w:pStyle w:val="Heading2"/>
      </w:pPr>
      <w:r>
        <w:t>Nivel De Satisfaccion</w:t>
      </w:r>
    </w:p>
    <w:p>
      <w:r>
        <w:t>Alto. La clienta reporta que 'todo bien hasta el momento' y que el personal ha sido 'muy amable'.</w:t>
      </w:r>
    </w:p>
    <w:p>
      <w:pPr>
        <w:pStyle w:val="Heading2"/>
      </w:pPr>
      <w:r>
        <w:t>Reservas</w:t>
      </w:r>
    </w:p>
    <w:p>
      <w:r>
        <w:t>No se mencionan reservas o dudas sobre la decisión de compra.</w:t>
      </w:r>
    </w:p>
    <w:p>
      <w:pPr>
        <w:pStyle w:val="Heading2"/>
      </w:pPr>
      <w:r>
        <w:t>Fricciones Pendientes</w:t>
      </w:r>
    </w:p>
    <w:p>
      <w:r>
        <w:t>La principal fricción es la espera, ya que el proyecto se entrega el próximo año. La mudanza y el proceso de amoblamiento son tareas futuras.</w:t>
      </w:r>
    </w:p>
    <w:p>
      <w:pPr>
        <w:pStyle w:val="Heading1"/>
      </w:pPr>
      <w:r>
        <w:t>Proyecto</w:t>
      </w:r>
    </w:p>
    <w:p>
      <w:r>
        <w:t>WOW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