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 caso de 'Dependencia Funcional Estructural'. La clienta, una persona mayor, se ve obligada a mudarse para seguir a su única hija, cuyo esposo inició el proceso. La decisión no fue propia, sino una reacción para mantener el sistema de apoyo mutuo, siendo la proximidad física (departamentos contiguos) la única condición innegociable.</w:t>
      </w:r>
    </w:p>
    <w:p>
      <w:pPr>
        <w:pStyle w:val="Heading1"/>
      </w:pPr>
      <w:r>
        <w:t>Historia Causal</w:t>
      </w:r>
    </w:p>
    <w:p>
      <w:pPr>
        <w:pStyle w:val="Heading2"/>
      </w:pPr>
      <w:r>
        <w:t>Contexto Previo</w:t>
      </w:r>
    </w:p>
    <w:p>
      <w:r>
        <w:t>La clienta vivía en una casa grande y propia en San Martín de Porres. Su sistema de vida era estable, compartiendo la propiedad con su hija y yerno, aunque en departamentos independientes. Esta configuración les permitía mantener cercanía y apoyo constante.</w:t>
      </w:r>
    </w:p>
    <w:p>
      <w:pPr>
        <w:pStyle w:val="Heading2"/>
      </w:pPr>
      <w:r>
        <w:t>Tension Acumulada</w:t>
      </w:r>
    </w:p>
    <w:p>
      <w:r>
        <w:t>La tensión se genera cuando el yerno decide que la familia debe mudarse a Surco. Esto crea un riesgo inminente de separación física para la madre, quien, al ser una persona mayor y no tener más familia en Lima, depende de la proximidad de su hija para el apoyo diario y emergencias.</w:t>
      </w:r>
    </w:p>
    <w:p>
      <w:pPr>
        <w:pStyle w:val="Heading2"/>
      </w:pPr>
      <w:r>
        <w:t>Bloqueadores</w:t>
      </w:r>
    </w:p>
    <w:p>
      <w:r>
        <w:t>El principal bloqueador era el fuerte apego emocional de la madre a su casa de toda la vida, lo que generó resistencia y estrés post-compra. Además, existía la incertidumbre logística y financiera de tener que vender su propiedad para financiar la nueva.</w:t>
      </w:r>
    </w:p>
    <w:p>
      <w:pPr>
        <w:pStyle w:val="Heading2"/>
      </w:pPr>
      <w:r>
        <w:t>Eventos Habilitadores</w:t>
      </w:r>
    </w:p>
    <w:p>
      <w:r>
        <w:t>El evento clave fue la decisión irrevocable del yerno de mudarse al proyecto MUV. Esto se consolidó con la condición impuesta por la hija: solo se mudaría si su madre compraba un departamento contiguo al suyo, convirtiendo la compra de la madre en un requisito para la mudanza de la hija.</w:t>
      </w:r>
    </w:p>
    <w:p>
      <w:pPr>
        <w:pStyle w:val="Heading2"/>
      </w:pPr>
      <w:r>
        <w:t>Switching Trigger</w:t>
      </w:r>
    </w:p>
    <w:p>
      <w:r>
        <w:t>El verdadero detonante fue la condición explícita de la hija: 'Si no había la opción de un departamento al costado del otro, no era opción para mí'. Esto transformó la posibilidad de mudanza de la madre de una opción a una obligación para no fracturar el núcleo familiar.</w:t>
      </w:r>
    </w:p>
    <w:p>
      <w:pPr>
        <w:pStyle w:val="Heading2"/>
      </w:pPr>
      <w:r>
        <w:t>Momento De Decision</w:t>
      </w:r>
    </w:p>
    <w:p>
      <w:r>
        <w:t>La decisión fue rápida y enfocada. No hubo una exploración amplia del mercado. La búsqueda se centró en encontrar dos unidades juntas en el proyecto ya elegido por el yerno. La compra se ejecutó en cuanto se confirmó la disponibilidad de un departamento adyacente, a pesar de las dudas sobre comprar en planos.</w:t>
      </w:r>
    </w:p>
    <w:p>
      <w:pPr>
        <w:pStyle w:val="Heading1"/>
      </w:pPr>
      <w:r>
        <w:t>Contexto Activador</w:t>
      </w:r>
    </w:p>
    <w:p>
      <w:pPr>
        <w:pStyle w:val="Heading2"/>
      </w:pPr>
      <w:r>
        <w:t>Marco General</w:t>
      </w:r>
    </w:p>
    <w:p>
      <w:r>
        <w:t>El sistema de vida se define por una interdependencia funcional entre madre e hija. La madre, de edad avanzada y sin otra red de apoyo, y la hija, que valora y necesita la cercanía de su madre, operan como una unidad. La decisión de compra se activa no por un deseo individual, sino por una amenaza a la estructura de este sistema de apoyo mutuo.</w:t>
      </w:r>
    </w:p>
    <w:p>
      <w:pPr>
        <w:pStyle w:val="Heading1"/>
      </w:pPr>
      <w:r>
        <w:t>Logica De Demanda</w:t>
      </w:r>
    </w:p>
    <w:p>
      <w:pPr>
        <w:pStyle w:val="Heading2"/>
      </w:pPr>
      <w:r>
        <w:t>Desired Outcome</w:t>
      </w:r>
    </w:p>
    <w:p>
      <w:r>
        <w:t>Asegurar la continuidad del sistema de apoyo familiar y la asistencia mutua, garantizando que, a pesar del cambio de ubicación, la estructura de cuidado y cercanía funcional permanezca intacta.</w:t>
      </w:r>
    </w:p>
    <w:p>
      <w:pPr>
        <w:pStyle w:val="Heading2"/>
      </w:pPr>
      <w:r>
        <w:t>Job Statement</w:t>
      </w:r>
    </w:p>
    <w:p>
      <w:r>
        <w:t>Cuando mi núcleo familiar de apoyo decide reubicarse, necesito encontrar una solución habitacional que nos mantenga físicamente conectados, para poder preservar nuestra interdependencia funcional y garantizar la seguridad y el cuidado mutuo en el día a día y ante cualquier emergencia.</w:t>
      </w:r>
    </w:p>
    <w:p>
      <w:pPr>
        <w:pStyle w:val="Heading2"/>
      </w:pPr>
      <w:r>
        <w:t>Job Dominante Narrativo</w:t>
      </w:r>
    </w:p>
    <w:p>
      <w:r>
        <w:t>La clienta está intentando reconfigurar su sistema habitacional para que siga la nueva dinámica impuesta por su familia, con el fin de mantener la cohesión y la red de seguridad que representa vivir junto a su única hija.</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de contratación principal y no negociable fue la disponibilidad de un departamento adyacente al de su hija. Secundariamente, valoró las áreas comunes (gimnasio, piscina), la tranquilidad y seguridad del nuevo distrito, y la proximidad a clínicas.</w:t>
      </w:r>
    </w:p>
    <w:p>
      <w:pPr>
        <w:pStyle w:val="Heading2"/>
      </w:pPr>
      <w:r>
        <w:t>Firing Criteria</w:t>
      </w:r>
    </w:p>
    <w:p>
      <w:r>
        <w:t>Se descartó cualquier opción que no permitiera vivir 'al costado' de su hija. También se descartaron opciones en otros distritos como Miraflores por ser 'minidepartamentos', inadecuados para alguien acostumbrada a una casa grande.</w:t>
      </w:r>
    </w:p>
    <w:p>
      <w:pPr>
        <w:pStyle w:val="Heading2"/>
      </w:pPr>
      <w:r>
        <w:t>Trade Offs Reales</w:t>
      </w:r>
    </w:p>
    <w:p>
      <w:r>
        <w:t>El principal sacrificio fue cambiar una casa espaciosa de 200m² por un departamento pequeño, lo que la obligó a deshacerse de todos sus muebles y le causó una depresión inicial. Aceptó un cambio radical de entorno y estilo de vida.</w:t>
      </w:r>
    </w:p>
    <w:p>
      <w:pPr>
        <w:pStyle w:val="Heading2"/>
      </w:pPr>
      <w:r>
        <w:t>Factores De Confianza</w:t>
      </w:r>
    </w:p>
    <w:p>
      <w:r>
        <w:t>La confianza provino principalmente de la gestión activa de su hija en todo el proceso, desde la búsqueda de los departamentos hasta la revisión de planos. La validación de un abogado amigo sobre la constructora también ayudó a mitigar el miedo a ser estafada.</w:t>
      </w:r>
    </w:p>
    <w:p>
      <w:pPr>
        <w:pStyle w:val="Heading2"/>
      </w:pPr>
      <w:r>
        <w:t>Reduccion De Riesgo</w:t>
      </w:r>
    </w:p>
    <w:p>
      <w:r>
        <w:t>El mayor riesgo percibido era la separación familiar. La compra de un departamento contiguo eliminó por completo este riesgo, convirtiéndose en la máxima estrategia de mitigación. El riesgo financiero de comprar en planos fue secundario y se redujo con asesoría legal.</w:t>
      </w:r>
    </w:p>
    <w:p>
      <w:pPr>
        <w:pStyle w:val="Heading1"/>
      </w:pPr>
      <w:r>
        <w:t>Evidencia De Fit</w:t>
      </w:r>
    </w:p>
    <w:p>
      <w:pPr>
        <w:pStyle w:val="Heading2"/>
      </w:pPr>
      <w:r>
        <w:t>Atributos Que Activaron Fit</w:t>
      </w:r>
    </w:p>
    <w:p>
      <w:r>
        <w:t>El atributo clave y único que activó el 'fit' fue la posibilidad de comprar un departamento pegado al de su hija. La personalización de los planos para unir los dos departamentos de la hija también demostró la flexibilidad del proyecto para adaptarse a necesidades familiares complejas.</w:t>
      </w:r>
    </w:p>
    <w:p>
      <w:pPr>
        <w:pStyle w:val="Heading2"/>
      </w:pPr>
      <w:r>
        <w:t>Atributos Secundarios</w:t>
      </w:r>
    </w:p>
    <w:p>
      <w:r>
        <w:t>Las áreas comunes (gimnasio, piscina, spa), la mayor seguridad del distrito de Surco en comparación con San Martín de Porres y la cercanía a servicios como clínicas fueron atributos valorados, pero no fueron la causa de la compra.</w:t>
      </w:r>
    </w:p>
    <w:p>
      <w:pPr>
        <w:pStyle w:val="Heading2"/>
      </w:pPr>
      <w:r>
        <w:t>Alternativas Descartadas</w:t>
      </w:r>
    </w:p>
    <w:p>
      <w:r>
        <w:t>Descartó explícitamente buscar en otros proyectos una vez que se aseguró la opción de departamentos contiguos en MUV. Mencionó haber visto opciones en Miraflores previamente, pero las descartó por su tamaño reducido ('minidepartamentos').</w:t>
      </w:r>
    </w:p>
    <w:p>
      <w:pPr>
        <w:pStyle w:val="Heading1"/>
      </w:pPr>
      <w:r>
        <w:t>Estado Post Compra</w:t>
      </w:r>
    </w:p>
    <w:p>
      <w:pPr>
        <w:pStyle w:val="Heading2"/>
      </w:pPr>
      <w:r>
        <w:t>Nivel De Satisfaccion</w:t>
      </w:r>
    </w:p>
    <w:p>
      <w:r>
        <w:t>Alto (calificó con un 9 sobre 10), principalmente porque el objetivo de mantener a la familia unida se cumplió a cabalidad.</w:t>
      </w:r>
    </w:p>
    <w:p>
      <w:pPr>
        <w:pStyle w:val="Heading2"/>
      </w:pPr>
      <w:r>
        <w:t>Reservas</w:t>
      </w:r>
    </w:p>
    <w:p>
      <w:r>
        <w:t>La principal reserva es la decepción con la calidad de la construcción, específicamente los graves y persistentes problemas con el sistema de desagüe (malos olores, atoros), que la constructora no ha solucionado eficazmente.</w:t>
      </w:r>
    </w:p>
    <w:p>
      <w:pPr>
        <w:pStyle w:val="Heading2"/>
      </w:pPr>
      <w:r>
        <w:t>Fricciones Pendientes</w:t>
      </w:r>
    </w:p>
    <w:p>
      <w:r>
        <w:t>Existen fricciones significativas post-venta: problemas contractuales donde se sintieron 'estafados' por cambios en las condiciones de estacionamientos y depósitos, y la continua molestia del sistema de desagüe provisional, cuya solución definitiva depende de futuras etapas del proyecto.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