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Compra iniciada como una inversión familiar para aprovechar una tasa de interés preferencial, se transforma en una adquisición personal impulsada por el fuerte atractivo aspiracional del proyecto, que redefine el uso del activo de 'alquiler' a 'vivienda temporal'.</w:t>
      </w:r>
    </w:p>
    <w:p>
      <w:pPr>
        <w:pStyle w:val="Heading1"/>
      </w:pPr>
      <w:r>
        <w:t>Historia Causal</w:t>
      </w:r>
    </w:p>
    <w:p>
      <w:pPr>
        <w:pStyle w:val="Heading2"/>
      </w:pPr>
      <w:r>
        <w:t>Contexto Previo</w:t>
      </w:r>
    </w:p>
    <w:p>
      <w:r>
        <w:t>La clienta, de 28 años y empleada de un banco, vive cómodamente en un departamento de su madre pagando un alquiler preferencial. No tiene una necesidad o deseo activo de independizarse o comprar una propiedad para sí misma.</w:t>
      </w:r>
    </w:p>
    <w:p>
      <w:pPr>
        <w:pStyle w:val="Heading2"/>
      </w:pPr>
      <w:r>
        <w:t>Tension Acumulada</w:t>
      </w:r>
    </w:p>
    <w:p>
      <w:r>
        <w:t>La tensión no es personal, sino familiar. Su madre tiene la intención de adquirir una nueva propiedad como inversión, y existe un capital disponible para ello. La clienta posee una ventaja financiera significativa (una tasa de interés hipotecaria muy baja por ser empleada del banco) que no está siendo utilizada.</w:t>
      </w:r>
    </w:p>
    <w:p>
      <w:pPr>
        <w:pStyle w:val="Heading2"/>
      </w:pPr>
      <w:r>
        <w:t>Bloqueadores</w:t>
      </w:r>
    </w:p>
    <w:p>
      <w:r>
        <w:t>La clienta no tenía planes personales de compra, por lo que no estaba en el mercado. La inercia de su cómoda situación actual era el principal bloqueador para una compra personal.</w:t>
      </w:r>
    </w:p>
    <w:p>
      <w:pPr>
        <w:pStyle w:val="Heading2"/>
      </w:pPr>
      <w:r>
        <w:t>Eventos Habilitadores</w:t>
      </w:r>
    </w:p>
    <w:p>
      <w:r>
        <w:t>El plan de inversión de la madre se convierte en el habilitador principal. La clienta ofrece su tasa preferencial para ayudar a su madre, lo que la introduce en el proceso de búsqueda. Casualmente, conoce el proyecto WOW a través de dos grupos de amigos distintos que ya viven allí, lo que genera curiosidad y confianza.</w:t>
      </w:r>
    </w:p>
    <w:p>
      <w:pPr>
        <w:pStyle w:val="Heading2"/>
      </w:pPr>
      <w:r>
        <w:t>Switching Trigger</w:t>
      </w:r>
    </w:p>
    <w:p>
      <w:r>
        <w:t>El gatillo es la conversación con su madre donde deciden unir fuerzas: la madre con el capital para la inicial y la hija con su capacidad de crédito y tasa preferencial. Esto formaliza la entrada al mercado con un objetivo de inversión.</w:t>
      </w:r>
    </w:p>
    <w:p>
      <w:pPr>
        <w:pStyle w:val="Heading2"/>
      </w:pPr>
      <w:r>
        <w:t>Momento De Decision</w:t>
      </w:r>
    </w:p>
    <w:p>
      <w:r>
        <w:t>La decisión se cristaliza durante la visita al proyecto. El impacto de las áreas comunes, especialmente la piscina, genera un 'enamoramiento' instantáneo tanto en ella como en su madre. La propuesta de valor percibida como una 'ganga' y una promoción de fin de semana aceleran la decisión, que pasa de ser una evaluación a una compra impulsiva de dos departamentos en la misma visita.</w:t>
      </w:r>
    </w:p>
    <w:p>
      <w:pPr>
        <w:pStyle w:val="Heading1"/>
      </w:pPr>
      <w:r>
        <w:t>Contexto Activador</w:t>
      </w:r>
    </w:p>
    <w:p>
      <w:pPr>
        <w:pStyle w:val="Heading2"/>
      </w:pPr>
      <w:r>
        <w:t>Marco General</w:t>
      </w:r>
    </w:p>
    <w:p>
      <w:r>
        <w:t>Una profesional joven, sin urgencia habitacional y con una vida estable, se encuentra en una posición financiera ventajosa (tasa de interés preferencial) dentro de un sistema familiar con capital disponible para invertir. La decisión se activa no por una necesidad personal, sino por la confluencia de la oportunidad de inversión familiar y la exposición a un producto con un fuerte componente aspiracional que le resulta irresistible.</w:t>
      </w:r>
    </w:p>
    <w:p>
      <w:pPr>
        <w:pStyle w:val="Heading1"/>
      </w:pPr>
      <w:r>
        <w:t>Logica De Demanda</w:t>
      </w:r>
    </w:p>
    <w:p>
      <w:pPr>
        <w:pStyle w:val="Heading2"/>
      </w:pPr>
      <w:r>
        <w:t>Desired Outcome</w:t>
      </w:r>
    </w:p>
    <w:p>
      <w:r>
        <w:t>Asegurar un activo inmobiliario flexible y rentable que optimice la calidad de vida actual, genere ingresos futuros y garantice la seguridad patrimonial familiar, aprovechando al máximo las ventajas financieras personales.</w:t>
      </w:r>
    </w:p>
    <w:p>
      <w:pPr>
        <w:pStyle w:val="Heading2"/>
      </w:pPr>
      <w:r>
        <w:t>Job Statement</w:t>
      </w:r>
    </w:p>
    <w:p>
      <w:r>
        <w:t>Cuando mi familia decide invertir y yo tengo acceso a una tasa de interés preferencial, quiero comprar una propiedad que no solo sea un buen activo, sino que también ofrezca un estilo de vida excepcional, para poder capitalizar la oportunidad financiera y, a la vez, disfrutar de un hogar que me encante.</w:t>
      </w:r>
    </w:p>
    <w:p>
      <w:pPr>
        <w:pStyle w:val="Heading2"/>
      </w:pPr>
      <w:r>
        <w:t>Job Dominante Narrativo</w:t>
      </w:r>
    </w:p>
    <w:p>
      <w:r>
        <w:t>La misión principal era ejecutar una inversión inmobiliaria inteligente para el patrimonio familiar. Esta misión se vio transformada por la oportunidad de acceder a un estilo de vida superior, lo que llevó a redefinir el uso del activo para disfrutarlo personalmente antes de destinarlo a la renta, maximizando así tanto el retorno financiero como el personal.</w:t>
      </w:r>
    </w:p>
    <w:p>
      <w:pPr>
        <w:pStyle w:val="Heading2"/>
      </w:pPr>
      <w:r>
        <w:t>Job Dominante Canonico</w:t>
      </w:r>
    </w:p>
    <w:p>
      <w:r>
        <w:t>J02: Proteger y flexibilizar el patrimonio</w:t>
      </w:r>
    </w:p>
    <w:p>
      <w:pPr>
        <w:pStyle w:val="Heading2"/>
      </w:pPr>
      <w:r>
        <w:t>Job Secundario Canonico</w:t>
      </w:r>
    </w:p>
    <w:p>
      <w:r>
        <w:t>J06: Expresar identidad y coherencia personal</w:t>
      </w:r>
    </w:p>
    <w:p>
      <w:pPr>
        <w:pStyle w:val="Heading1"/>
      </w:pPr>
      <w:r>
        <w:t>Logica De Eleccion</w:t>
      </w:r>
    </w:p>
    <w:p>
      <w:pPr>
        <w:pStyle w:val="Heading2"/>
      </w:pPr>
      <w:r>
        <w:t>Hiring Criteria</w:t>
      </w:r>
    </w:p>
    <w:p>
      <w:r>
        <w:t>Los criterios decisivos fueron las áreas comunes (piscina 'gigantesca' y cine), la percepción de ser una 'ganga' (buen precio con cochera incluida en una mejor zona), la ubicación conveniente para su deporte y cerca de su madre, y una distribución funcional (baño de visitas separado).</w:t>
      </w:r>
    </w:p>
    <w:p>
      <w:pPr>
        <w:pStyle w:val="Heading2"/>
      </w:pPr>
      <w:r>
        <w:t>Firing Criteria</w:t>
      </w:r>
    </w:p>
    <w:p>
      <w:r>
        <w:t>Descartó automáticamente proyectos en ubicaciones ruidosas y con tráfico (Surquillo), departamentos con un único baño dentro del dormitorio, y proyectos sin construcción iniciada (percibidos como de mayor riesgo).</w:t>
      </w:r>
    </w:p>
    <w:p>
      <w:pPr>
        <w:pStyle w:val="Heading2"/>
      </w:pPr>
      <w:r>
        <w:t>Trade Offs Reales</w:t>
      </w:r>
    </w:p>
    <w:p>
      <w:r>
        <w:t>Aceptó un proceso de cierre extremadamente apresurado y estresante, teniendo que gestionar trámites bancarios en tiempo récord (un día y medio) y pagar la inicial antes de tener la aprobación formal del crédito. Perdió tiempo laboral para cumplir con los plazos.</w:t>
      </w:r>
    </w:p>
    <w:p>
      <w:pPr>
        <w:pStyle w:val="Heading2"/>
      </w:pPr>
      <w:r>
        <w:t>Factores De Confianza</w:t>
      </w:r>
    </w:p>
    <w:p>
      <w:r>
        <w:t>La confianza se construyó sobre la experiencia positiva de dos grupos de amigos que ya vivían en el proyecto y habían recibido sus departamentos a tiempo. Ver que una parte del proyecto ya estaba construida y habitada también redujo la percepción de riesgo.</w:t>
      </w:r>
    </w:p>
    <w:p>
      <w:pPr>
        <w:pStyle w:val="Heading2"/>
      </w:pPr>
      <w:r>
        <w:t>Reduccion De Riesgo</w:t>
      </w:r>
    </w:p>
    <w:p>
      <w:r>
        <w:t>Aunque el proceso de pago fue riesgoso, mitigó la incertidumbre confiando en su alta probabilidad de aprobación crediticia como empleada del banco y en la validación social de sus amigos sobre la seriedad de la inmobiliaria.</w:t>
      </w:r>
    </w:p>
    <w:p>
      <w:pPr>
        <w:pStyle w:val="Heading1"/>
      </w:pPr>
      <w:r>
        <w:t>Evidencia De Fit</w:t>
      </w:r>
    </w:p>
    <w:p>
      <w:pPr>
        <w:pStyle w:val="Heading2"/>
      </w:pPr>
      <w:r>
        <w:t>Atributos Que Activaron Fit</w:t>
      </w:r>
    </w:p>
    <w:p>
      <w:r>
        <w:t>La piscina y el cine fueron los principales activadores emocionales. El precio competitivo, la inclusión de cochera, la ubicación estratégica y la distribución inteligente del departamento fueron los atributos racionales que confirmaron la decisión.</w:t>
      </w:r>
    </w:p>
    <w:p>
      <w:pPr>
        <w:pStyle w:val="Heading2"/>
      </w:pPr>
      <w:r>
        <w:t>Atributos Secundarios</w:t>
      </w:r>
    </w:p>
    <w:p>
      <w:r>
        <w:t>El gimnasio no fue un factor relevante, ya que tiene acceso a uno en su trabajo. El depósito tampoco fue necesario.</w:t>
      </w:r>
    </w:p>
    <w:p>
      <w:pPr>
        <w:pStyle w:val="Heading2"/>
      </w:pPr>
      <w:r>
        <w:t>Alternativas Descartadas</w:t>
      </w:r>
    </w:p>
    <w:p>
      <w:r>
        <w:t>El proyecto 'High Life' en Surquillo fue descartado por ser más caro por metro cuadrado, no incluir cochera, tener áreas comunes menos atractivas y estar en una zona percibida como más ruidosa y con más tráfico.</w:t>
      </w:r>
    </w:p>
    <w:p>
      <w:pPr>
        <w:pStyle w:val="Heading1"/>
      </w:pPr>
      <w:r>
        <w:t>Estado Post Compra</w:t>
      </w:r>
    </w:p>
    <w:p>
      <w:pPr>
        <w:pStyle w:val="Heading2"/>
      </w:pPr>
      <w:r>
        <w:t>Nivel De Satisfaccion</w:t>
      </w:r>
    </w:p>
    <w:p>
      <w:r>
        <w:t>Alto (califica con 9/10), con una reserva importante sobre el proceso de venta.</w:t>
      </w:r>
    </w:p>
    <w:p>
      <w:pPr>
        <w:pStyle w:val="Heading2"/>
      </w:pPr>
      <w:r>
        <w:t>Reservas</w:t>
      </w:r>
    </w:p>
    <w:p>
      <w:r>
        <w:t>La principal reserva es la presión extrema y los plazos irrazonablemente cortos para el pago de la cuota inicial, lo que generó un alto nivel de estrés y ansiedad.</w:t>
      </w:r>
    </w:p>
    <w:p>
      <w:pPr>
        <w:pStyle w:val="Heading2"/>
      </w:pPr>
      <w:r>
        <w:t>Fricciones Pendientes</w:t>
      </w:r>
    </w:p>
    <w:p>
      <w:r>
        <w:t>La incertidumbre sobre la aprobación final del crédito al momento de pagar la inicial. La falta de claridad sobre la fecha exacta de inicio de construcción y la posibilidad contractual de un retraso de hasta seis meses en la entrega.</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