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Familia utiliza capital ahorrado para transicionar de alquilar a comprar, buscando estabilidad y seguridad. La elección final es filtrada por las necesidades logísticas de sus miembros (universidad, salud, recreación).</w:t>
      </w:r>
    </w:p>
    <w:p>
      <w:pPr>
        <w:pStyle w:val="Heading1"/>
      </w:pPr>
      <w:r>
        <w:t>Historia Causal</w:t>
      </w:r>
    </w:p>
    <w:p>
      <w:pPr>
        <w:pStyle w:val="Heading2"/>
      </w:pPr>
      <w:r>
        <w:t>Contexto Previo</w:t>
      </w:r>
    </w:p>
    <w:p>
      <w:r>
        <w:t>La familia, compuesta por padres y hijos de diversas edades, reside en una casa alquilada en Ate. Han logrado acumular un capital significativo a través de ahorros y la recepción de un dinero, lo que los posiciona con capacidad de compra.</w:t>
      </w:r>
    </w:p>
    <w:p>
      <w:pPr>
        <w:pStyle w:val="Heading2"/>
      </w:pPr>
      <w:r>
        <w:t>Tension Acumulada</w:t>
      </w:r>
    </w:p>
    <w:p>
      <w:r>
        <w:t>Existía un deseo latente y creciente de abandonar la condición de inquilinos para adquirir una propiedad. Esta tensión se alimentaba de la búsqueda de mayor seguridad, la estabilidad de tener un hogar propio y la necesidad de invertir el capital ocioso en un activo patrimonial.</w:t>
      </w:r>
    </w:p>
    <w:p>
      <w:pPr>
        <w:pStyle w:val="Heading2"/>
      </w:pPr>
      <w:r>
        <w:t>Bloqueadores</w:t>
      </w:r>
    </w:p>
    <w:p>
      <w:r>
        <w:t>El principal bloqueador era la inercia de su situación de vida actual y la ausencia de una opción en el mercado que se alineara perfectamente con su complejo conjunto de necesidades funcionales y financieras.</w:t>
      </w:r>
    </w:p>
    <w:p>
      <w:pPr>
        <w:pStyle w:val="Heading2"/>
      </w:pPr>
      <w:r>
        <w:t>Eventos Habilitadores</w:t>
      </w:r>
    </w:p>
    <w:p>
      <w:r>
        <w:t>La acumulación de un capital suficiente para la cuota inicial y la solvencia crediticia fue el habilitador financiero. A nivel contextual, el hecho de que los hijos mayores comenzaran la universidad introdujo la ubicación como una variable crítica, catalizando la búsqueda.</w:t>
      </w:r>
    </w:p>
    <w:p>
      <w:pPr>
        <w:pStyle w:val="Heading2"/>
      </w:pPr>
      <w:r>
        <w:t>Switching Trigger</w:t>
      </w:r>
    </w:p>
    <w:p>
      <w:r>
        <w:t>La decisión proactiva de asistir a una feria inmobiliaria (Expourbania/Nexo) marcó el punto de inflexión, pasando de una consideración pasiva a una búsqueda activa y comprometida de una solución.</w:t>
      </w:r>
    </w:p>
    <w:p>
      <w:pPr>
        <w:pStyle w:val="Heading2"/>
      </w:pPr>
      <w:r>
        <w:t>Momento De Decision</w:t>
      </w:r>
    </w:p>
    <w:p>
      <w:r>
        <w:t>El proceso fue notablemente rápido. En la feria, identificaron el proyecto WOW. La visita al showroom confirmó el encaje con sus necesidades (distribución, áreas comunes). La combinación de un precio de preventa atractivo, un desembolso postergado y una tasa de interés especial solidificó la decisión, llevándolos a separar la unidad de inmediato.</w:t>
      </w:r>
    </w:p>
    <w:p>
      <w:pPr>
        <w:pStyle w:val="Heading1"/>
      </w:pPr>
      <w:r>
        <w:t>Contexto Activador</w:t>
      </w:r>
    </w:p>
    <w:p>
      <w:pPr>
        <w:pStyle w:val="Heading2"/>
      </w:pPr>
      <w:r>
        <w:t>Marco General</w:t>
      </w:r>
    </w:p>
    <w:p>
      <w:r>
        <w:t>El sistema de vida es una unidad familiar multigeneracional que opera desde una base alquilada, con capital disponible para invertir. La decisión de compra se activa cuando las necesidades logísticas de sus miembros (hijos en la universidad, salud del padre, recreación de los menores) se vuelven prioritarias, creando un conjunto de requisitos funcionales que la nueva vivienda debe resolver para justificar la inversión.</w:t>
      </w:r>
    </w:p>
    <w:p>
      <w:pPr>
        <w:pStyle w:val="Heading1"/>
      </w:pPr>
      <w:r>
        <w:t>Logica De Demanda</w:t>
      </w:r>
    </w:p>
    <w:p>
      <w:pPr>
        <w:pStyle w:val="Heading2"/>
      </w:pPr>
      <w:r>
        <w:t>Desired Outcome</w:t>
      </w:r>
    </w:p>
    <w:p>
      <w:r>
        <w:t>Lograr la transición de inquilinos a propietarios para asegurar un patrimonio familiar, obtener estabilidad a largo plazo y habitar un entorno más seguro y funcional que se adapte a las necesidades operativas de todos los miembros de la familia.</w:t>
      </w:r>
    </w:p>
    <w:p>
      <w:pPr>
        <w:pStyle w:val="Heading2"/>
      </w:pPr>
      <w:r>
        <w:t>Job Statement</w:t>
      </w:r>
    </w:p>
    <w:p>
      <w:r>
        <w:t>Cuando tenemos el capital ahorrado y la necesidad de asegurar nuestro futuro, quiero comprar un departamento propio en un condominio seguro, para dejar de pagar alquiler y proveer un hogar estable y funcional para mis padres e hermanos.</w:t>
      </w:r>
    </w:p>
    <w:p>
      <w:pPr>
        <w:pStyle w:val="Heading2"/>
      </w:pPr>
      <w:r>
        <w:t>Job Dominante Narrativo</w:t>
      </w:r>
    </w:p>
    <w:p>
      <w:r>
        <w:t>La familia está intentando usar su capital acumulado para dejar de alquilar y comprar su primer hogar propio. El objetivo principal es establecer una base segura y estable, marcando el fin de una etapa de transitoriedad y el inicio de la consolidación patrimonial familiar.</w:t>
      </w:r>
    </w:p>
    <w:p>
      <w:pPr>
        <w:pStyle w:val="Heading2"/>
      </w:pPr>
      <w:r>
        <w:t>Job Dominante Canonico</w:t>
      </w:r>
    </w:p>
    <w:p>
      <w:r>
        <w:t>J01: Establecer estabilidad habitacional</w:t>
      </w:r>
    </w:p>
    <w:p>
      <w:pPr>
        <w:pStyle w:val="Heading2"/>
      </w:pPr>
      <w:r>
        <w:t>Job Secundario Canonico</w:t>
      </w:r>
    </w:p>
    <w:p>
      <w:r>
        <w:t>J04: Acompañar el crecimiento familiar</w:t>
      </w:r>
    </w:p>
    <w:p>
      <w:pPr>
        <w:pStyle w:val="Heading1"/>
      </w:pPr>
      <w:r>
        <w:t>Logica De Eleccion</w:t>
      </w:r>
    </w:p>
    <w:p>
      <w:pPr>
        <w:pStyle w:val="Heading2"/>
      </w:pPr>
      <w:r>
        <w:t>Hiring Criteria</w:t>
      </w:r>
    </w:p>
    <w:p>
      <w:r>
        <w:t>Los criterios clave fueron: la seguridad de un condominio cerrado, la proximidad a universidades para los hijos mayores, áreas comunes atractivas (piscina, gimnasio) para los hijos menores, la disponibilidad de un primer piso por la condición del padre, un precio de preventa competitivo y condiciones financieras ventajosas (tasa especial, desembolso postergado).</w:t>
      </w:r>
    </w:p>
    <w:p>
      <w:pPr>
        <w:pStyle w:val="Heading2"/>
      </w:pPr>
      <w:r>
        <w:t>Firing Criteria</w:t>
      </w:r>
    </w:p>
    <w:p>
      <w:r>
        <w:t>Descartaron automáticamente opciones con malas referencias sobre la calidad de construcción o servicios (como el proyecto 'Look') y proyectos con un precio significativamente más elevado que se salían de su presupuesto (como 'Magna').</w:t>
      </w:r>
    </w:p>
    <w:p>
      <w:pPr>
        <w:pStyle w:val="Heading2"/>
      </w:pPr>
      <w:r>
        <w:t>Trade Offs Reales</w:t>
      </w:r>
    </w:p>
    <w:p>
      <w:r>
        <w:t>Aceptaron conscientemente un departamento con un metraje ligeramente menor al que deseaban inicialmente. Además, asumieron un largo período de espera de un año para la entrega del inmueble.</w:t>
      </w:r>
    </w:p>
    <w:p>
      <w:pPr>
        <w:pStyle w:val="Heading2"/>
      </w:pPr>
      <w:r>
        <w:t>Factores De Confianza</w:t>
      </w:r>
    </w:p>
    <w:p>
      <w:r>
        <w:t>La confianza se construyó sobre las buenas referencias de amigos sobre la inmobiliaria, la percepción de que la constructora tenía experiencia y la experiencia positiva y transparente durante la visita al showroom y el proceso de venta.</w:t>
      </w:r>
    </w:p>
    <w:p>
      <w:pPr>
        <w:pStyle w:val="Heading2"/>
      </w:pPr>
      <w:r>
        <w:t>Reduccion De Riesgo</w:t>
      </w:r>
    </w:p>
    <w:p>
      <w:r>
        <w:t>Minimizaron el riesgo al investigar la reputación de las inmobiliarias, descartando aquellas con malas referencias. Además, las condiciones financieras especiales (tasa de interés preferencial) y el precio de preventa redujeron la percepción de riesgo financiero en la inversión.</w:t>
      </w:r>
    </w:p>
    <w:p>
      <w:pPr>
        <w:pStyle w:val="Heading1"/>
      </w:pPr>
      <w:r>
        <w:t>Evidencia De Fit</w:t>
      </w:r>
    </w:p>
    <w:p>
      <w:pPr>
        <w:pStyle w:val="Heading2"/>
      </w:pPr>
      <w:r>
        <w:t>Atributos Que Activaron Fit</w:t>
      </w:r>
    </w:p>
    <w:p>
      <w:r>
        <w:t>La combinación de un condominio cerrado (seguridad), la ubicación estratégica cerca de universidades, las áreas comunes bien equipadas y poco concurridas, la distribución funcional del departamento y la crucial disponibilidad de una unidad en primer piso.</w:t>
      </w:r>
    </w:p>
    <w:p>
      <w:pPr>
        <w:pStyle w:val="Heading2"/>
      </w:pPr>
      <w:r>
        <w:t>Atributos Secundarios</w:t>
      </w:r>
    </w:p>
    <w:p>
      <w:r>
        <w:t>El tamaño exacto del departamento no fue un factor decisivo; la funcionalidad de la distribución pesó más que el metraje total. Estaban dispuestos a sacrificar un poco de espacio por los otros beneficios.</w:t>
      </w:r>
    </w:p>
    <w:p>
      <w:pPr>
        <w:pStyle w:val="Heading2"/>
      </w:pPr>
      <w:r>
        <w:t>Alternativas Descartadas</w:t>
      </w:r>
    </w:p>
    <w:p>
      <w:r>
        <w:t>El proyecto 'Look' fue descartado por malas referencias sobre su construcción y servicios. El proyecto 'Magna' fue descartado por ser más caro. La opción de seguir alquilando fue abandonada al decidir activamente invertir su capital.</w:t>
      </w:r>
    </w:p>
    <w:p>
      <w:pPr>
        <w:pStyle w:val="Heading1"/>
      </w:pPr>
      <w:r>
        <w:t>Estado Post Compra</w:t>
      </w:r>
    </w:p>
    <w:p>
      <w:pPr>
        <w:pStyle w:val="Heading2"/>
      </w:pPr>
      <w:r>
        <w:t>Nivel De Satisfaccion</w:t>
      </w:r>
    </w:p>
    <w:p>
      <w:r>
        <w:t>La satisfacción con la decisión de compra es alta, pero está matizada por la ansiedad y la expectativa generada por el largo tiempo de espera para la entrega.</w:t>
      </w:r>
    </w:p>
    <w:p>
      <w:pPr>
        <w:pStyle w:val="Heading2"/>
      </w:pPr>
      <w:r>
        <w:t>Reservas</w:t>
      </w:r>
    </w:p>
    <w:p>
      <w:r>
        <w:t>La principal reserva es la incertidumbre inherente a un período de espera de un año, aunque la comunicación de la inmobiliaria parece mitigarla parcialmente.</w:t>
      </w:r>
    </w:p>
    <w:p>
      <w:pPr>
        <w:pStyle w:val="Heading2"/>
      </w:pPr>
      <w:r>
        <w:t>Fricciones Pendientes</w:t>
      </w:r>
    </w:p>
    <w:p>
      <w:r>
        <w:t>La fricción principal es la gestión de la espera y la ansiedad de la familia. A futuro, enfrentarán el proceso de desembolso final, la mudanza y la implementación y amoblamiento del nuevo hogar.</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