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su necesidad de vivienda resuelta decide invertir un capital excedente en un departamento, eligiendo una opción que, además de ser rentable, ofrece una solución de conveniencia para sus hijos universitarios y una opción de vivienda futura para ellos mismos.</w:t>
      </w:r>
    </w:p>
    <w:p>
      <w:pPr>
        <w:pStyle w:val="Heading1"/>
      </w:pPr>
      <w:r>
        <w:t>Historia Causal</w:t>
      </w:r>
    </w:p>
    <w:p>
      <w:pPr>
        <w:pStyle w:val="Heading2"/>
      </w:pPr>
      <w:r>
        <w:t>Contexto Previo</w:t>
      </w:r>
    </w:p>
    <w:p>
      <w:r>
        <w:t>La familia, compuesta por una pareja y dos hijos universitarios, vive cómodamente en un departamento propio, más grande que el adquirido. No tienen ninguna necesidad habitacional urgente.</w:t>
      </w:r>
    </w:p>
    <w:p>
      <w:pPr>
        <w:pStyle w:val="Heading2"/>
      </w:pPr>
      <w:r>
        <w:t>Tension Acumulada</w:t>
      </w:r>
    </w:p>
    <w:p>
      <w:r>
        <w:t>Existía la conciencia de tener un capital excedente sin generar rentabilidad, lo que representaba un costo de oportunidad. La idea de invertir en un inmueble para alquilar era latente pero no urgente.</w:t>
      </w:r>
    </w:p>
    <w:p>
      <w:pPr>
        <w:pStyle w:val="Heading2"/>
      </w:pPr>
      <w:r>
        <w:t>Bloqueadores</w:t>
      </w:r>
    </w:p>
    <w:p>
      <w:r>
        <w:t>La falta de una necesidad perentoria de mudarse o invertir mantenía la búsqueda en un estado pasivo. No había un impulso activo para evaluar opciones concretas en el mercado.</w:t>
      </w:r>
    </w:p>
    <w:p>
      <w:pPr>
        <w:pStyle w:val="Heading2"/>
      </w:pPr>
      <w:r>
        <w:t>Eventos Habilitadores</w:t>
      </w:r>
    </w:p>
    <w:p>
      <w:r>
        <w:t>La disponibilidad de capital para la cuota inicial y la coincidencia de que sus dos hijos estudian en la Universidad de Lima, creando un contexto ideal para una inversión con potencial de alquiler a estudiantes o uso familiar.</w:t>
      </w:r>
    </w:p>
    <w:p>
      <w:pPr>
        <w:pStyle w:val="Heading2"/>
      </w:pPr>
      <w:r>
        <w:t>Switching Trigger</w:t>
      </w:r>
    </w:p>
    <w:p>
      <w:r>
        <w:t>Ver una publicidad del proyecto WOW en internet que destacaba la ubicación y las áreas comunes. Esto transformó una idea latente en una acción concreta de evaluación.</w:t>
      </w:r>
    </w:p>
    <w:p>
      <w:pPr>
        <w:pStyle w:val="Heading2"/>
      </w:pPr>
      <w:r>
        <w:t>Momento De Decision</w:t>
      </w:r>
    </w:p>
    <w:p>
      <w:r>
        <w:t>La decisión fue muy rápida. Tras la visita, el proyecto encajó perfectamente con sus criterios de inversión y conveniencia familiar. La existencia de descuentos y la presión de la vendedora sobre la disponibilidad aceleraron el cierre de la compra.</w:t>
      </w:r>
    </w:p>
    <w:p>
      <w:pPr>
        <w:pStyle w:val="Heading1"/>
      </w:pPr>
      <w:r>
        <w:t>Contexto Activador</w:t>
      </w:r>
    </w:p>
    <w:p>
      <w:pPr>
        <w:pStyle w:val="Heading2"/>
      </w:pPr>
      <w:r>
        <w:t>Marco General</w:t>
      </w:r>
    </w:p>
    <w:p>
      <w:r>
        <w:t>El sistema de vida es estable, con una vivienda propia y cómoda. La dinámica familiar gira en torno a la conveniencia de sus hijos universitarios. La decisión se activa no por una necesidad de vivienda, sino por la disponibilidad de capital y la aparición de una oportunidad de inversión que se alinea perfectamente con su contexto familiar.</w:t>
      </w:r>
    </w:p>
    <w:p>
      <w:pPr>
        <w:pStyle w:val="Heading1"/>
      </w:pPr>
      <w:r>
        <w:t>Logica De Demanda</w:t>
      </w:r>
    </w:p>
    <w:p>
      <w:pPr>
        <w:pStyle w:val="Heading2"/>
      </w:pPr>
      <w:r>
        <w:t>Desired Outcome</w:t>
      </w:r>
    </w:p>
    <w:p>
      <w:r>
        <w:t>Asegurar un activo inmobiliario flexible que funcione como una inversión rentable a corto plazo (alquiler) y como una potencial vivienda familiar a futuro, optimizando la conveniencia para los hijos y la seguridad patrimonial.</w:t>
      </w:r>
    </w:p>
    <w:p>
      <w:pPr>
        <w:pStyle w:val="Heading2"/>
      </w:pPr>
      <w:r>
        <w:t>Job Statement</w:t>
      </w:r>
    </w:p>
    <w:p>
      <w:r>
        <w:t>Cuando tengo un capital excedente, quiero invertirlo en un departamento con una ubicación estratégica y características flexibles, para que me genere una renta pasiva y me ofrezca la opcionalidad de usarlo como vivienda familiar en el futuro.</w:t>
      </w:r>
    </w:p>
    <w:p>
      <w:pPr>
        <w:pStyle w:val="Heading2"/>
      </w:pPr>
      <w:r>
        <w:t>Job Dominante Narrativo</w:t>
      </w:r>
    </w:p>
    <w:p>
      <w:r>
        <w:t>La familia está intentando poner a trabajar un capital excedente para proteger su patrimonio y generar ingresos adicionales, asegurando al mismo tiempo una solución habitacional futura y conveniente para sus hijos.</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La combinación de una inversión rentable con una alta conveniencia familiar: ubicación cerca de la universidad de los hijos, una cancha de tenis que usan, y una tipología flexible (2+flex) que podría convertirse en un hogar de 3 dormitorios para ellos en el futuro.</w:t>
      </w:r>
    </w:p>
    <w:p>
      <w:pPr>
        <w:pStyle w:val="Heading2"/>
      </w:pPr>
      <w:r>
        <w:t>Firing Criteria</w:t>
      </w:r>
    </w:p>
    <w:p>
      <w:r>
        <w:t>Ubicaciones con mucho tráfico y ruido, y proyectos con áreas comunes menos atractivas o relevantes para su estilo de vida familiar. Un proyecto en El Derby fue descartado por estos motivos.</w:t>
      </w:r>
    </w:p>
    <w:p>
      <w:pPr>
        <w:pStyle w:val="Heading2"/>
      </w:pPr>
      <w:r>
        <w:t>Trade Offs Reales</w:t>
      </w:r>
    </w:p>
    <w:p>
      <w:r>
        <w:t>Aceptaron incertidumbre y una mala comunicación post-venta, cambios en la cochera asignada y soportaron tácticas de presión de venta a cambio de asegurar la propiedad que consideraban una oportunidad ideal.</w:t>
      </w:r>
    </w:p>
    <w:p>
      <w:pPr>
        <w:pStyle w:val="Heading2"/>
      </w:pPr>
      <w:r>
        <w:t>Factores De Confianza</w:t>
      </w:r>
    </w:p>
    <w:p>
      <w:r>
        <w:t>La confianza inicial se basó en el producto mismo y la percepción de una buena oportunidad de inversión. Sin embargo, esta confianza se ha visto severamente erosionada por la mala experiencia post-venta.</w:t>
      </w:r>
    </w:p>
    <w:p>
      <w:pPr>
        <w:pStyle w:val="Heading2"/>
      </w:pPr>
      <w:r>
        <w:t>Reduccion De Riesgo</w:t>
      </w:r>
    </w:p>
    <w:p>
      <w:r>
        <w:t>El riesgo se percibía bajo al ser una inversión y no una necesidad habitacional urgente. La decisión se sintió segura porque el producto cumplía múltiples propósitos (inversión, conveniencia para los hijos, futuro hogar), diversificando su utilidad.</w:t>
      </w:r>
    </w:p>
    <w:p>
      <w:pPr>
        <w:pStyle w:val="Heading1"/>
      </w:pPr>
      <w:r>
        <w:t>Evidencia De Fit</w:t>
      </w:r>
    </w:p>
    <w:p>
      <w:pPr>
        <w:pStyle w:val="Heading2"/>
      </w:pPr>
      <w:r>
        <w:t>Atributos Que Activaron Fit</w:t>
      </w:r>
    </w:p>
    <w:p>
      <w:r>
        <w:t>La ubicación estratégica cerca de la Universidad de Lima, la cancha de tenis, y la distribución flexible '2+flex' que permite una futura adaptación a 3 dormitorios.</w:t>
      </w:r>
    </w:p>
    <w:p>
      <w:pPr>
        <w:pStyle w:val="Heading2"/>
      </w:pPr>
      <w:r>
        <w:t>Atributos Secundarios</w:t>
      </w:r>
    </w:p>
    <w:p>
      <w:r>
        <w:t>Los descuentos comerciales que ayudaron a acelerar la decisión, aunque no fueron el driver principal. La tranquilidad de la zona en comparación con otras opciones.</w:t>
      </w:r>
    </w:p>
    <w:p>
      <w:pPr>
        <w:pStyle w:val="Heading2"/>
      </w:pPr>
      <w:r>
        <w:t>Alternativas Descartadas</w:t>
      </w:r>
    </w:p>
    <w:p>
      <w:r>
        <w:t>Un proyecto en la zona de El Derby, descartado por ser ruidoso y tener mucho tráfico. Otras opciones vistas solo por internet que no llegaron a la etapa de visita física.</w:t>
      </w:r>
    </w:p>
    <w:p>
      <w:pPr>
        <w:pStyle w:val="Heading1"/>
      </w:pPr>
      <w:r>
        <w:t>Estado Post Compra</w:t>
      </w:r>
    </w:p>
    <w:p>
      <w:pPr>
        <w:pStyle w:val="Heading2"/>
      </w:pPr>
      <w:r>
        <w:t>Nivel De Satisfaccion</w:t>
      </w:r>
    </w:p>
    <w:p>
      <w:r>
        <w:t>Ambivalente. Satisfechos con la inversión y el producto adquirido, pero muy insatisfechos y preocupados por la comunicación post-venta, la falta de información y los errores en el proceso.</w:t>
      </w:r>
    </w:p>
    <w:p>
      <w:pPr>
        <w:pStyle w:val="Heading2"/>
      </w:pPr>
      <w:r>
        <w:t>Reservas</w:t>
      </w:r>
    </w:p>
    <w:p>
      <w:r>
        <w:t>Dudas sobre la profesionalidad y transparencia de la inmobiliaria. Incertidumbre sobre fechas clave, la entrega de documentos y la validez de la información recibida.</w:t>
      </w:r>
    </w:p>
    <w:p>
      <w:pPr>
        <w:pStyle w:val="Heading2"/>
      </w:pPr>
      <w:r>
        <w:t>Fricciones Pendientes</w:t>
      </w:r>
    </w:p>
    <w:p>
      <w:r>
        <w:t>No tienen un contrato físico que respalde su inversión del 20%. Desconocen las fechas de inicio de obra y entrega. No tienen un punto de contacto claro en la inmobiliaria y han experimentado confusión sobre la cochera asignada.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