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Summary Ejecutivo</w:t>
      </w:r>
    </w:p>
    <w:p>
      <w:r>
        <w:t>Cliente invierte sus fondos de jubilación en un departamento que no necesita para vivir, atraído por la recomendación de su hija y una propuesta de valor aspiracional (amenities), buscando asegurar su patrimonio y generar una renta futura con flexibilidad de uso.</w:t>
      </w:r>
    </w:p>
    <w:p>
      <w:pPr>
        <w:pStyle w:val="Heading1"/>
      </w:pPr>
      <w:r>
        <w:t>Historia Causal</w:t>
      </w:r>
    </w:p>
    <w:p>
      <w:pPr>
        <w:pStyle w:val="Heading2"/>
      </w:pPr>
      <w:r>
        <w:t>Contexto Previo</w:t>
      </w:r>
    </w:p>
    <w:p>
      <w:r>
        <w:t>El cliente, de 66 años, vive cómodamente con su esposa en un departamento propio en Surco. No tiene ninguna necesidad o urgencia de mudarse. Se encuentra en la transición a la jubilación, a punto de recibir un capital importante de sus fondos de AFP.</w:t>
      </w:r>
    </w:p>
    <w:p>
      <w:pPr>
        <w:pStyle w:val="Heading2"/>
      </w:pPr>
      <w:r>
        <w:t>Tension Acumulada</w:t>
      </w:r>
    </w:p>
    <w:p>
      <w:r>
        <w:t>La tensión principal es financiera y latente: la conciencia de que un capital significativo está por llegar y la necesidad de invertirlo para que no pierda valor y pueda generar una renta que complemente su vejez. No hay una fricción habitacional, sino una oportunidad patrimonial.</w:t>
      </w:r>
    </w:p>
    <w:p>
      <w:pPr>
        <w:pStyle w:val="Heading2"/>
      </w:pPr>
      <w:r>
        <w:t>Bloqueadores</w:t>
      </w:r>
    </w:p>
    <w:p>
      <w:r>
        <w:t>El principal bloqueador era la inercia. El cliente no estaba buscando activamente dónde invertir ni tenía un plan definido. Su estado era pasivo ('estábamos tranquilos'), por lo que sin un estímulo externo, el capital podría haber quedado sin invertir o destinado a otra opción.</w:t>
      </w:r>
    </w:p>
    <w:p>
      <w:pPr>
        <w:pStyle w:val="Heading2"/>
      </w:pPr>
      <w:r>
        <w:t>Eventos Habilitadores</w:t>
      </w:r>
    </w:p>
    <w:p>
      <w:r>
        <w:t>El evento habilitador clave es la materialización de los fondos de su jubilación. Esto, combinado con el hecho de que su hija trabajaba como agente inmobiliaria, creó el puente perfecto entre el capital disponible y una oportunidad de inversión concreta en el sector inmobiliario.</w:t>
      </w:r>
    </w:p>
    <w:p>
      <w:pPr>
        <w:pStyle w:val="Heading2"/>
      </w:pPr>
      <w:r>
        <w:t>Switching Trigger</w:t>
      </w:r>
    </w:p>
    <w:p>
      <w:r>
        <w:t>El detonante de la compra fue cuando su hija, en el curso de su trabajo, conoció el proyecto WOW, le gustó y se lo presentó directamente a su padre. Este evento transformó una idea abstracta de 'invertir' en una opción tangible y atractiva, moviéndolo de la pasividad a la acción.</w:t>
      </w:r>
    </w:p>
    <w:p>
      <w:pPr>
        <w:pStyle w:val="Heading2"/>
      </w:pPr>
      <w:r>
        <w:t>Momento De Decision</w:t>
      </w:r>
    </w:p>
    <w:p>
      <w:r>
        <w:t>La decisión fue extremadamente rápida y emocional. Tras la recomendación de su hija, visitó el proyecto y se 'enamoró' del concepto y las áreas comunes. No hubo un proceso de comparación con otros proyectos inmobiliarios. La compra se decidió en el momento, siendo un caso de 'amor a primera vista' con el producto.</w:t>
      </w:r>
    </w:p>
    <w:p>
      <w:pPr>
        <w:pStyle w:val="Heading1"/>
      </w:pPr>
      <w:r>
        <w:t>Contexto Activador</w:t>
      </w:r>
    </w:p>
    <w:p>
      <w:pPr>
        <w:pStyle w:val="Heading2"/>
      </w:pPr>
      <w:r>
        <w:t>Marco General</w:t>
      </w:r>
    </w:p>
    <w:p>
      <w:r>
        <w:t>Un hombre recién jubilado, con capital disponible de su AFP, que vive en una propiedad estable y sin urgencias habitacionales. Su sistema de vida está consolidado, pero se enfrenta a la decisión estructural de cómo gestionar su patrimonio para la vejez. La decisión se activa no por una necesidad interna, sino por una oportunidad externa presentada a través de un canal de alta confianza (su hija).</w:t>
      </w:r>
    </w:p>
    <w:p>
      <w:pPr>
        <w:pStyle w:val="Heading1"/>
      </w:pPr>
      <w:r>
        <w:t>Logica De Demanda</w:t>
      </w:r>
    </w:p>
    <w:p>
      <w:pPr>
        <w:pStyle w:val="Heading2"/>
      </w:pPr>
      <w:r>
        <w:t>Desired Outcome</w:t>
      </w:r>
    </w:p>
    <w:p>
      <w:r>
        <w:t>Lograr convertir un capital líquido (fondos de jubilación) en un activo físico, seguro y flexible que proteja su valor a largo plazo y ofrezca múltiples opciones de rentabilidad: ya sea a través del alquiler para generar una pensión, su venta con plusvalía, o como un bien para el uso futuro de su familia.</w:t>
      </w:r>
    </w:p>
    <w:p>
      <w:pPr>
        <w:pStyle w:val="Heading2"/>
      </w:pPr>
      <w:r>
        <w:t>Job Statement</w:t>
      </w:r>
    </w:p>
    <w:p>
      <w:r>
        <w:t>Cuando recibo el capital de mi jubilación, quiero invertirlo en una propiedad inmobiliaria que ofrezca flexibilidad de uso y una propuesta de valor atractiva, para así proteger mi patrimonio de la inflación y asegurar una fuente de ingresos o un bien para mi familia en el futuro.</w:t>
      </w:r>
    </w:p>
    <w:p>
      <w:pPr>
        <w:pStyle w:val="Heading2"/>
      </w:pPr>
      <w:r>
        <w:t>Job Dominante Narrativo</w:t>
      </w:r>
    </w:p>
    <w:p>
      <w:r>
        <w:t>La misión principal es realizar una jugada patrimonial inteligente con el dinero de su jubilación. No se trata de resolver un problema de vivienda, sino de asegurar y flexibilizar su futuro financiero. La propiedad es vista como un vehículo de inversión con opcionalidad, no como un hogar.</w:t>
      </w:r>
    </w:p>
    <w:p>
      <w:pPr>
        <w:pStyle w:val="Heading2"/>
      </w:pPr>
      <w:r>
        <w:t>Job Dominante Canonico</w:t>
      </w:r>
    </w:p>
    <w:p>
      <w:r>
        <w:t>J02: Proteger y flexibilizar el patrimonio</w:t>
      </w:r>
    </w:p>
    <w:p>
      <w:pPr>
        <w:pStyle w:val="Heading2"/>
      </w:pPr>
      <w:r>
        <w:t>Job Secundario Canonico</w:t>
      </w:r>
    </w:p>
    <w:p>
      <w:r>
        <w:t>J06: Expresar identidad y coherencia personal</w:t>
      </w:r>
    </w:p>
    <w:p>
      <w:pPr>
        <w:pStyle w:val="Heading1"/>
      </w:pPr>
      <w:r>
        <w:t>Logica De Eleccion</w:t>
      </w:r>
    </w:p>
    <w:p>
      <w:pPr>
        <w:pStyle w:val="Heading2"/>
      </w:pPr>
      <w:r>
        <w:t>Hiring Criteria</w:t>
      </w:r>
    </w:p>
    <w:p>
      <w:r>
        <w:t>El criterio principal fue la propuesta de valor del proyecto: el concepto de condominio-club con piscina, gimnasio y cancha de tenis. La tipología flexible (2 dormitorios + flex) también fue valorada por su adaptabilidad futura. La ubicación, aunque no ideal, era conocida y aceptable por la cercanía a la universidad de sus hijos (potencial para alquiler).</w:t>
      </w:r>
    </w:p>
    <w:p>
      <w:pPr>
        <w:pStyle w:val="Heading2"/>
      </w:pPr>
      <w:r>
        <w:t>Firing Criteria</w:t>
      </w:r>
    </w:p>
    <w:p>
      <w:r>
        <w:t>El precio fue un criterio de descarte clave. Descartó explícitamente otro proyecto terminado de la misma inmobiliaria (MOVE) por ser más caro. Esto refuerza que, a pesar del enamoramiento, la lógica de inversión y valor seguía siendo un factor fundamental.</w:t>
      </w:r>
    </w:p>
    <w:p>
      <w:pPr>
        <w:pStyle w:val="Heading2"/>
      </w:pPr>
      <w:r>
        <w:t>Trade Offs Reales</w:t>
      </w:r>
    </w:p>
    <w:p>
      <w:r>
        <w:t>Aceptó un proyecto en planos con una larga espera e incertidumbre en los plazos de entrega, a cambio de un mejor precio. Toleró la distancia relativa a su trabajo y una comunicación post-venta deficiente. Sacrificó la certeza de un producto terminado por el potencial de valor de una compra en etapas tempranas.</w:t>
      </w:r>
    </w:p>
    <w:p>
      <w:pPr>
        <w:pStyle w:val="Heading2"/>
      </w:pPr>
      <w:r>
        <w:t>Factores De Confianza</w:t>
      </w:r>
    </w:p>
    <w:p>
      <w:r>
        <w:t>El factor de confianza inicial más fuerte fue la recomendación de su hija, quien actuó como un filtro de calidad y un canal de acceso a la oportunidad. La confianza en la marca se fue construyendo, aunque luego se vio erosionada por los retrasos.</w:t>
      </w:r>
    </w:p>
    <w:p>
      <w:pPr>
        <w:pStyle w:val="Heading2"/>
      </w:pPr>
      <w:r>
        <w:t>Reduccion De Riesgo</w:t>
      </w:r>
    </w:p>
    <w:p>
      <w:r>
        <w:t>El riesgo se redujo al optar por un plan de pagos directo y semestral, que le permitía no desembolsar el 100% del capital mientras no viera avances en la construcción. De hecho, utilizó esta palanca para negociar adendas y aplazar pagos ante la demora de la obra.</w:t>
      </w:r>
    </w:p>
    <w:p>
      <w:pPr>
        <w:pStyle w:val="Heading1"/>
      </w:pPr>
      <w:r>
        <w:t>Evidencia De Fit</w:t>
      </w:r>
    </w:p>
    <w:p>
      <w:pPr>
        <w:pStyle w:val="Heading2"/>
      </w:pPr>
      <w:r>
        <w:t>Atributos Que Activaron Fit</w:t>
      </w:r>
    </w:p>
    <w:p>
      <w:r>
        <w:t>Las áreas comunes fueron el principal activador: el clubhouse, la piscina temperada, el gimnasio y, en particular, la cancha de tenis. El concepto general del condominio conectó con una visión aspiracional de cómo disfrutar su tiempo en el futuro.</w:t>
      </w:r>
    </w:p>
    <w:p>
      <w:pPr>
        <w:pStyle w:val="Heading2"/>
      </w:pPr>
      <w:r>
        <w:t>Atributos Secundarios</w:t>
      </w:r>
    </w:p>
    <w:p>
      <w:r>
        <w:t>La distribución del departamento fue considerada buena y funcional, pero no fue el factor decisivo ('los departamentos son muy parecidos en casi todos los condominios'). La ubicación era aceptable, pero no el principal atractivo.</w:t>
      </w:r>
    </w:p>
    <w:p>
      <w:pPr>
        <w:pStyle w:val="Heading2"/>
      </w:pPr>
      <w:r>
        <w:t>Alternativas Descartadas</w:t>
      </w:r>
    </w:p>
    <w:p>
      <w:r>
        <w:t>La principal alternativa descartada fue 'no hacer nada' o realizar otro tipo de inversión no inmobiliaria ('podría haber invertido en bolsa'). También descartó activamente comprar en el proyecto MOVE de la misma empresa por ser más caro.</w:t>
      </w:r>
    </w:p>
    <w:p>
      <w:pPr>
        <w:pStyle w:val="Heading1"/>
      </w:pPr>
      <w:r>
        <w:t>Estado Post Compra</w:t>
      </w:r>
    </w:p>
    <w:p>
      <w:pPr>
        <w:pStyle w:val="Heading2"/>
      </w:pPr>
      <w:r>
        <w:t>Nivel De Satisfaccion</w:t>
      </w:r>
    </w:p>
    <w:p>
      <w:r>
        <w:t>Bajo y ambivalente. Aunque la lógica de la inversión se mantiene, la experiencia ha sido de 'incertidumbre' y 'constante malestar' debido a los significativos retrasos en la construcción y la mala comunicación de la empresa. Le resultaría 'difícil' recomendar el proyecto en su estado actual.</w:t>
      </w:r>
    </w:p>
    <w:p>
      <w:pPr>
        <w:pStyle w:val="Heading2"/>
      </w:pPr>
      <w:r>
        <w:t>Reservas</w:t>
      </w:r>
    </w:p>
    <w:p>
      <w:r>
        <w:t>La principal reserva es la falta de tangibilidad y el riesgo percibido al haber invertido el dinero de su jubilación en un proyecto que no avanza según lo planeado. Duda de la capacidad de la empresa para cumplir los nuevos plazos.</w:t>
      </w:r>
    </w:p>
    <w:p>
      <w:pPr>
        <w:pStyle w:val="Heading2"/>
      </w:pPr>
      <w:r>
        <w:t>Fricciones Pendientes</w:t>
      </w:r>
    </w:p>
    <w:p>
      <w:r>
        <w:t>La fricción más crítica es la incertidumbre sobre el inicio y finalización de la obra. Ha tenido que negociar activamente adendas para no completar los pagos sin ver avances, lo que genera un desgaste en la relación con la inmobiliaria. La decisión final sobre el uso del inmueble (vivir, alquilar, vender) sigue pendiente.</w:t>
      </w:r>
    </w:p>
    <w:p>
      <w:pPr>
        <w:pStyle w:val="Heading1"/>
      </w:pPr>
      <w:r>
        <w:t>Proyecto</w:t>
      </w:r>
    </w:p>
    <w:p>
      <w:r>
        <w:t>WOW</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