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Cliente con familia en crecimiento busca activamente mejorar su entorno de vida por seguridad y oportunidades para sus hijos. La decisión se materializa al encontrar el proyecto WOW, que no solo satisface estas necesidades familiares con sus áreas comunes y ubicación, sino que también cumple con un criterio financiero innegociable: un precio excepcional con financiamiento directo, evitando la deuda bancaria.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 vive en un departamento propio en La Calera, una zona funcional pero con un entorno sociocultural mixto y preocupaciones de seguridad que consideran no ideales para la crianza de sus hijos, uno pequeño y otro a punto de iniciar la universidad.</w:t>
      </w:r>
    </w:p>
    <w:p>
      <w:pPr>
        <w:pStyle w:val="Heading2"/>
      </w:pPr>
      <w:r>
        <w:t>Tension Acumulada</w:t>
      </w:r>
    </w:p>
    <w:p>
      <w:r>
        <w:t>Existía un deseo latente de mudarse a una zona con un mejor entorno social y mayor seguridad. Buscaban un lugar que ofreciera espacios de esparcimiento seguros para el hijo menor y que, a la vez, estuviera convenientemente ubicado para la futura vida universitaria del mayor.</w:t>
      </w:r>
    </w:p>
    <w:p>
      <w:pPr>
        <w:pStyle w:val="Heading2"/>
      </w:pPr>
      <w:r>
        <w:t>Bloqueadores</w:t>
      </w:r>
    </w:p>
    <w:p>
      <w:r>
        <w:t>La búsqueda previa se vio frustrada por proyectos que ofrecían poco valor por un alto costo. El principal bloqueador era la aversión total a tomar un crédito hipotecario, debido a los altos intereses y al impacto en la capacidad de endeudamiento del negocio familiar.</w:t>
      </w:r>
    </w:p>
    <w:p>
      <w:pPr>
        <w:pStyle w:val="Heading2"/>
      </w:pPr>
      <w:r>
        <w:t>Eventos Habilitadores</w:t>
      </w:r>
    </w:p>
    <w:p>
      <w:r>
        <w:t>La disponibilidad de capital propio para una compra sin banco y la experiencia profesional del cliente en el sector construcción le permitieron evaluar oportunidades de manera sofisticada. La publicidad online del proyecto WOW funcionó como el catalizador que los llevó a visitar.</w:t>
      </w:r>
    </w:p>
    <w:p>
      <w:pPr>
        <w:pStyle w:val="Heading2"/>
      </w:pPr>
      <w:r>
        <w:t>Switching Trigger</w:t>
      </w:r>
    </w:p>
    <w:p>
      <w:r>
        <w:t>El detonante final fue la combinación de una oferta de precio de 'Cyber' anticipada, la propuesta de valor de las áreas comunes tipo club, y la facilidad de un financiamiento directo con la inmobiliaria hasta diciembre. Esta confluencia de factores convirtió una búsqueda pasiva en una decisión de compra inmediata.</w:t>
      </w:r>
    </w:p>
    <w:p>
      <w:pPr>
        <w:pStyle w:val="Heading2"/>
      </w:pPr>
      <w:r>
        <w:t>Momento De Decision</w:t>
      </w:r>
    </w:p>
    <w:p>
      <w:r>
        <w:t>La decisión fue extremadamente rápida. Llegaron al proyecto sin cita, fueron atendidos por la jefa de ventas, y tras evaluar las opciones y recibir la oferta financiera, decidieron separar el departamento el mismo día, motivados por la oportunidad y la presión de perder la unidad.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El cliente opera dentro de un sistema familiar con hijos en etapas de vida clave (niñez y transición a la universidad) que dictan las prioridades de vivienda. Su vida está condicionada por una fuerte aversión al endeudamiento bancario y una alta sofisticación financiera debido a su profesión, lo que le permite identificar y actuar rápidamente ante oportunidades de inversión inmobiliaria que también resuelvan sus necesidades familiares.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 progreso significativo en la calidad de vida familiar, asegurando un entorno que brinde seguridad, oportunidades de desarrollo para los hijos y tranquilidad patrimonial, sin comprometer la salud financiera del negocio familiar.</w:t>
      </w:r>
    </w:p>
    <w:p>
      <w:pPr>
        <w:pStyle w:val="Heading2"/>
      </w:pPr>
      <w:r>
        <w:t>Job Statement</w:t>
      </w:r>
    </w:p>
    <w:p>
      <w:r>
        <w:t>Cuando el entorno donde vivimos ya no se alinea con las necesidades de seguridad y desarrollo de mis hijos en crecimiento, quiero mudarme a un lugar que ofrezca un ecosistema controlado con excelentes instalaciones y cercanía a sus centros de interés, para poder facilitar su bienestar y acompañar su futuro de manera óptima.</w:t>
      </w:r>
    </w:p>
    <w:p>
      <w:pPr>
        <w:pStyle w:val="Heading2"/>
      </w:pPr>
      <w:r>
        <w:t>Job Dominante Narrativo</w:t>
      </w:r>
    </w:p>
    <w:p>
      <w:r>
        <w:t>El cliente está intentando reconfigurar su sistema de vida para adaptarlo a las necesidades presentes y futuras de sus hijos, proveyéndoles un entorno más seguro, con mejores opciones de esparcimiento y convenientemente ubicado para su educación superior.</w:t>
      </w:r>
    </w:p>
    <w:p>
      <w:pPr>
        <w:pStyle w:val="Heading2"/>
      </w:pPr>
      <w:r>
        <w:t>Job Dominante Canonico</w:t>
      </w:r>
    </w:p>
    <w:p>
      <w:r>
        <w:t>J04: Acompañar el crecimiento familiar</w:t>
      </w:r>
    </w:p>
    <w:p>
      <w:pPr>
        <w:pStyle w:val="Heading2"/>
      </w:pPr>
      <w:r>
        <w:t>Job Secundario Canonico</w:t>
      </w:r>
    </w:p>
    <w:p>
      <w:r>
        <w:t>J02: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combinación de áreas comunes tipo club para la seguridad y deporte de los hijos, la proximidad a la universidad UPC, un precio percibido como una gran oportunidad, y, de forma crítica, la posibilidad de un financiamiento directo con la inmobiliaria sin involucrar a un banco.</w:t>
      </w:r>
    </w:p>
    <w:p>
      <w:pPr>
        <w:pStyle w:val="Heading2"/>
      </w:pPr>
      <w:r>
        <w:t>Firing Criteria</w:t>
      </w:r>
    </w:p>
    <w:p>
      <w:r>
        <w:t>Cualquier proyecto que requiriera financiamiento bancario era descartado automáticamente. También se descartaron opciones con una mala relación entre el costo, el área y las prestaciones, o con distribuciones poco funcionales.</w:t>
      </w:r>
    </w:p>
    <w:p>
      <w:pPr>
        <w:pStyle w:val="Heading2"/>
      </w:pPr>
      <w:r>
        <w:t>Trade Offs Reales</w:t>
      </w:r>
    </w:p>
    <w:p>
      <w:r>
        <w:t>Aceptaron la presión de venta para asegurar la unidad y el precio. Están tolerando una comunicación post-venta deficiente y una falta de flexibilidad para la personalización del departamento, un punto de alta fricción para ellos.</w:t>
      </w:r>
    </w:p>
    <w:p>
      <w:pPr>
        <w:pStyle w:val="Heading2"/>
      </w:pPr>
      <w:r>
        <w:t>Factores De Confianza</w:t>
      </w:r>
    </w:p>
    <w:p>
      <w:r>
        <w:t>La experiencia previa del cliente en el sector construcción le dio la seguridad para evaluar la calidad y el valor de la oferta rápidamente. La solidez percibida del grupo inmobiliario, validada a través de sus contactos, también fue un factor clave.</w:t>
      </w:r>
    </w:p>
    <w:p>
      <w:pPr>
        <w:pStyle w:val="Heading2"/>
      </w:pPr>
      <w:r>
        <w:t>Reduccion De Riesgo</w:t>
      </w:r>
    </w:p>
    <w:p>
      <w:r>
        <w:t>El riesgo se minimizó al evitar el endeudamiento a largo plazo con un banco. La percepción de estar comprando un activo por debajo de su valor de mercado les dio una fuerte sensación de seguridad en la inversión.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Los 4000m² de áreas comunes (piscinas, gimnasio), la ubicación estratégica en Surco cerca de la UPC y sus clientes, la tipología de 3 dormitorios y 80m², y la estructura de pago directo con la inmobiliaria.</w:t>
      </w:r>
    </w:p>
    <w:p>
      <w:pPr>
        <w:pStyle w:val="Heading2"/>
      </w:pPr>
      <w:r>
        <w:t>Atributos Secundarios</w:t>
      </w:r>
    </w:p>
    <w:p>
      <w:r>
        <w:t>La distribución y acabados del departamento piloto fueron importantes para visualizar el producto final, pero el factor decisivo fueron las áreas comunes y las condiciones comerciales.</w:t>
      </w:r>
    </w:p>
    <w:p>
      <w:pPr>
        <w:pStyle w:val="Heading2"/>
      </w:pPr>
      <w:r>
        <w:t>Alternativas Descartadas</w:t>
      </w:r>
    </w:p>
    <w:p>
      <w:r>
        <w:t>El proyecto MUV de la misma inmobiliaria fue descartado por no tener la tipología deseada disponible y por una distribución menos atractiva. Otros proyectos en La Calera y zonas aledañas fueron descartados por su alto costo y menores prestaciones.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Alta satisfacción con la compra y el producto, pero muy baja satisfacción con la experiencia post-venta.</w:t>
      </w:r>
    </w:p>
    <w:p>
      <w:pPr>
        <w:pStyle w:val="Heading2"/>
      </w:pPr>
      <w:r>
        <w:t>Reservas</w:t>
      </w:r>
    </w:p>
    <w:p>
      <w:r>
        <w:t>La principal reserva es la incertidumbre generada por la falta de comunicación de la inmobiliaria sobre el cronograma del proyecto y la nula respuesta a sus solicitudes técnicas.</w:t>
      </w:r>
    </w:p>
    <w:p>
      <w:pPr>
        <w:pStyle w:val="Heading2"/>
      </w:pPr>
      <w:r>
        <w:t>Fricciones Pendientes</w:t>
      </w:r>
    </w:p>
    <w:p>
      <w:r>
        <w:t>Existe una fricción crítica y no resuelta en la comunicación con el área de proyectos para planificar modificaciones y personalizaciones en el departamento antes de la construcción, lo que genera ansiedad y frustración.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