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disponibilidad de capital proveniente del retiro de la AFP, con el objetivo explícito de inversión para generar rentabilidad (J02). La ubicación estratégica cerca de universidades, validada por el contexto de su hija, funciona como el Filtro de Selección (Selection Driver) que define qué proyecto específico comprar, pero no origina la necesidad de comprar.</w:t>
      </w:r>
    </w:p>
    <w:p>
      <w:pPr>
        <w:pStyle w:val="Heading2"/>
      </w:pPr>
      <w:r>
        <w:t>Debate Deal Breaker</w:t>
      </w:r>
    </w:p>
    <w:p>
      <w:r>
        <w:t>El innegociable es el potencial de inversión del activo. Si la ubicación no fuera ideal para el alquiler a estudiantes, lo que garantiza la rentabilidad, la compra no se habría realizado. El uso personal futuro es una opcionalidad valorada, pero no la condición necesaria para la compra.</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'en vez de tener, como justo había retirado el tema del fondo del AFP, dije, vamos a invertir aquí.'], 'es_gatillo_entrada': True, 'es_filtro_seleccion': True, 'test_deal_breaker': 'No compraría. La compra está condicionada a la necesidad de hacer rendir un capital disponible.'}</w:t>
      </w:r>
    </w:p>
    <w:p>
      <w:r>
        <w:t>- {'codigo_y_nombre_job': 'J04: Acompañar crecimiento familiar', 'citas_textuales_evidencia': ['La zona, bueno, mi hija que estudia en la UPC...', 'pensando más adelante, yo mudarme a ese departamento que es más pequeño que el que realmente, el que habito ahora.', 'mis hijas ya se van a ir, para que un departamento tan grande.'], 'es_gatillo_entrada': False, 'es_filtro_seleccion': True, 'test_deal_breaker': 'Sí, compraría. Buscaría otra propiedad de inversión en una ubicación diferente, pero el objetivo de invertir el capital de la AFP persistiría.'}</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La decisión de compra es gobernada por una lógica de inversión (J02), activada por la disponibilidad de capital. El contexto familiar (hija universitaria, futuro downsizing) no es el origen de la demanda, sino un poderoso criterio de selección que define las características de la inversión ideal, funcionando como un Job Secundario (J04).</w:t>
      </w:r>
    </w:p>
    <w:p>
      <w:pPr>
        <w:pStyle w:val="Heading1"/>
      </w:pPr>
      <w:r>
        <w:t>Dictamen Final</w:t>
      </w:r>
    </w:p>
    <w:p>
      <w:r>
        <w:t>Válida</w:t>
      </w:r>
    </w:p>
    <w:p>
      <w:pPr>
        <w:pStyle w:val="Heading1"/>
      </w:pPr>
      <w:r>
        <w:t>Justificacion</w:t>
      </w:r>
    </w:p>
    <w:p>
      <w:r>
        <w:t>La entrevista reconstruye de manera coherente y detallada la historia causal de la compra. Se identifica claramente el detonante (disponibilidad de capital), el Job Dominante (inversión - J02), los criterios de selección y las fricciones post-compra, proporcionando un insight completo del comportamiento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